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Часть 3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Перегудов Александр 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- приобретение навыков по использованию hydra.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End w:id="22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Запустил apache для работы сайта DVWA. (рис. fig. 1, fig. 2)</w:t>
      </w:r>
    </w:p>
    <w:bookmarkStart w:id="26" w:name="fig:001"/>
    <w:p>
      <w:pPr>
        <w:pStyle w:val="CaptionedFigure"/>
      </w:pPr>
      <w:r>
        <w:drawing>
          <wp:inline>
            <wp:extent cx="2444816" cy="587141"/>
            <wp:effectExtent b="0" l="0" r="0" t="0"/>
            <wp:docPr descr="Рис. 1: Запуск сервиса для apache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816" cy="587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сервиса для apache</w:t>
      </w:r>
    </w:p>
    <w:bookmarkEnd w:id="26"/>
    <w:bookmarkStart w:id="30" w:name="fig:005"/>
    <w:p>
      <w:pPr>
        <w:pStyle w:val="CaptionedFigure"/>
      </w:pPr>
      <w:r>
        <w:drawing>
          <wp:inline>
            <wp:extent cx="3733800" cy="2399975"/>
            <wp:effectExtent b="0" l="0" r="0" t="0"/>
            <wp:docPr descr="Рис. 2: Форма для брутфорса сайта DVWA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9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Форма для брутфорса сайта DVWA</w:t>
      </w:r>
    </w:p>
    <w:bookmarkEnd w:id="30"/>
    <w:p>
      <w:pPr>
        <w:pStyle w:val="BodyText"/>
      </w:pPr>
      <w:r>
        <w:t xml:space="preserve">Перешёл в папку со списком распростронённых паролей и разархивировал этот список. (рис. fig. 3)</w:t>
      </w:r>
    </w:p>
    <w:bookmarkStart w:id="34" w:name="fig:002"/>
    <w:p>
      <w:pPr>
        <w:pStyle w:val="CaptionedFigure"/>
      </w:pPr>
      <w:r>
        <w:drawing>
          <wp:inline>
            <wp:extent cx="3619098" cy="981776"/>
            <wp:effectExtent b="0" l="0" r="0" t="0"/>
            <wp:docPr descr="Рис. 3: Разархивация" title="" id="32" name="Picture"/>
            <a:graphic>
              <a:graphicData uri="http://schemas.openxmlformats.org/drawingml/2006/picture">
                <pic:pic>
                  <pic:nvPicPr>
                    <pic:cNvPr descr="image/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098" cy="98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Разархивация</w:t>
      </w:r>
    </w:p>
    <w:bookmarkEnd w:id="34"/>
    <w:p>
      <w:pPr>
        <w:pStyle w:val="BodyText"/>
      </w:pPr>
      <w:r>
        <w:t xml:space="preserve">Запустил hydra с нужными параметрами для брутфорса и получил правильный пароль. (рис. fig. 4, fig. 5)</w:t>
      </w:r>
    </w:p>
    <w:bookmarkStart w:id="38" w:name="fig:003"/>
    <w:p>
      <w:pPr>
        <w:pStyle w:val="CaptionedFigure"/>
      </w:pPr>
      <w:r>
        <w:drawing>
          <wp:inline>
            <wp:extent cx="3733800" cy="1645002"/>
            <wp:effectExtent b="0" l="0" r="0" t="0"/>
            <wp:docPr descr="Рис. 4: Запуск и работа hydra" title="" id="36" name="Picture"/>
            <a:graphic>
              <a:graphicData uri="http://schemas.openxmlformats.org/drawingml/2006/picture">
                <pic:pic>
                  <pic:nvPicPr>
                    <pic:cNvPr descr="image/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5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Запуск и работа hydra</w:t>
      </w:r>
    </w:p>
    <w:bookmarkEnd w:id="38"/>
    <w:bookmarkStart w:id="42" w:name="fig:004"/>
    <w:p>
      <w:pPr>
        <w:pStyle w:val="CaptionedFigure"/>
      </w:pPr>
      <w:r>
        <w:drawing>
          <wp:inline>
            <wp:extent cx="3733800" cy="1285890"/>
            <wp:effectExtent b="0" l="0" r="0" t="0"/>
            <wp:docPr descr="Рис. 5: Результат работы и правильные данные для входа" title="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5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Результат работы и правильные данные для входа</w:t>
      </w:r>
    </w:p>
    <w:bookmarkEnd w:id="42"/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данной лаборатной работе были приобретены практические навыки по использованию hydra.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Часть 3</dc:title>
  <dc:creator>Перегудов Александр Вадимович</dc:creator>
  <dc:language>ru-RU</dc:language>
  <cp:keywords/>
  <dcterms:created xsi:type="dcterms:W3CDTF">2025-04-10T22:52:33Z</dcterms:created>
  <dcterms:modified xsi:type="dcterms:W3CDTF">2025-04-10T22:52:33Z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информационной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