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7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Настройка</w:t>
      </w:r>
      <w:r>
        <w:t xml:space="preserve"> </w:t>
      </w:r>
      <w:r>
        <w:t xml:space="preserve">рабочей</w:t>
      </w:r>
      <w:r>
        <w:t xml:space="preserve"> </w:t>
      </w:r>
      <w:r>
        <w:t xml:space="preserve">среды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Перегудов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Вадимович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работы с chezmoi, pass, gopass. Облегчение последующей работы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pass и gopass. (рис. fig. 1)</w:t>
      </w:r>
    </w:p>
    <w:p>
      <w:pPr>
        <w:pStyle w:val="CaptionedFigure"/>
      </w:pPr>
      <w:r>
        <w:drawing>
          <wp:inline>
            <wp:extent cx="3733800" cy="1493519"/>
            <wp:effectExtent b="0" l="0" r="0" t="0"/>
            <wp:docPr descr="Установка pass, gopass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3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pass, gopass</w:t>
      </w:r>
    </w:p>
    <w:p>
      <w:pPr>
        <w:pStyle w:val="BodyText"/>
      </w:pPr>
      <w:r>
        <w:t xml:space="preserve">Просмотр списка ключей. (рис. fig. 2)</w:t>
      </w:r>
    </w:p>
    <w:p>
      <w:pPr>
        <w:pStyle w:val="CaptionedFigure"/>
      </w:pPr>
      <w:r>
        <w:drawing>
          <wp:inline>
            <wp:extent cx="3003082" cy="2002054"/>
            <wp:effectExtent b="0" l="0" r="0" t="0"/>
            <wp:docPr descr="Список ключей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82" cy="200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Список ключей</w:t>
      </w:r>
    </w:p>
    <w:p>
      <w:pPr>
        <w:pStyle w:val="BodyText"/>
      </w:pPr>
      <w:r>
        <w:t xml:space="preserve">Инициализация хранилища. (рис. fig. 3)</w:t>
      </w:r>
    </w:p>
    <w:p>
      <w:pPr>
        <w:pStyle w:val="CaptionedFigure"/>
      </w:pPr>
      <w:r>
        <w:drawing>
          <wp:inline>
            <wp:extent cx="3474720" cy="519764"/>
            <wp:effectExtent b="0" l="0" r="0" t="0"/>
            <wp:docPr descr="Инициализация хранилища по email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1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хранилища по email</w:t>
      </w:r>
    </w:p>
    <w:p>
      <w:pPr>
        <w:pStyle w:val="BodyText"/>
      </w:pPr>
      <w:r>
        <w:t xml:space="preserve">Создание структуры git. (рис. fig. 4)</w:t>
      </w:r>
    </w:p>
    <w:p>
      <w:pPr>
        <w:pStyle w:val="CaptionedFigure"/>
      </w:pPr>
      <w:r>
        <w:drawing>
          <wp:inline>
            <wp:extent cx="3532471" cy="1058778"/>
            <wp:effectExtent b="0" l="0" r="0" t="0"/>
            <wp:docPr descr="Инициализация git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1" cy="105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Инициализация git</w:t>
      </w:r>
    </w:p>
    <w:p>
      <w:pPr>
        <w:pStyle w:val="BodyText"/>
      </w:pPr>
      <w:r>
        <w:t xml:space="preserve">Задание адреса репозитория на github. (рис. fig. 5)</w:t>
      </w:r>
    </w:p>
    <w:p>
      <w:pPr>
        <w:pStyle w:val="CaptionedFigure"/>
      </w:pPr>
      <w:r>
        <w:drawing>
          <wp:inline>
            <wp:extent cx="3733800" cy="190724"/>
            <wp:effectExtent b="0" l="0" r="0" t="0"/>
            <wp:docPr descr="Адрес был задан заранее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Адрес был задан заранее</w:t>
      </w:r>
    </w:p>
    <w:p>
      <w:pPr>
        <w:pStyle w:val="BodyText"/>
      </w:pPr>
      <w:r>
        <w:t xml:space="preserve">Синхронизация локального и удалённого репозитория. (рис. fig. 6)</w:t>
      </w:r>
    </w:p>
    <w:p>
      <w:pPr>
        <w:pStyle w:val="CaptionedFigure"/>
      </w:pPr>
      <w:r>
        <w:drawing>
          <wp:inline>
            <wp:extent cx="2521818" cy="259882"/>
            <wp:effectExtent b="0" l="0" r="0" t="0"/>
            <wp:docPr descr="Передача данных на удалённые репозиторий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18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Передача данных на удалённые репозиторий</w:t>
      </w:r>
    </w:p>
    <w:p>
      <w:pPr>
        <w:pStyle w:val="BodyText"/>
      </w:pPr>
      <w:r>
        <w:t xml:space="preserve">Задание адреса репозитория на github. (рис. fig. 7)</w:t>
      </w:r>
    </w:p>
    <w:p>
      <w:pPr>
        <w:pStyle w:val="CaptionedFigure"/>
      </w:pPr>
      <w:r>
        <w:drawing>
          <wp:inline>
            <wp:extent cx="3715351" cy="356134"/>
            <wp:effectExtent b="0" l="0" r="0" t="0"/>
            <wp:docPr descr="Адрес был задан заранее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Адрес был задан заранее</w:t>
      </w:r>
    </w:p>
    <w:p>
      <w:pPr>
        <w:pStyle w:val="BodyText"/>
      </w:pPr>
      <w:r>
        <w:t xml:space="preserve">Установка browserpass. (рис. fig. 8)</w:t>
      </w:r>
    </w:p>
    <w:p>
      <w:pPr>
        <w:pStyle w:val="CaptionedFigure"/>
      </w:pPr>
      <w:r>
        <w:drawing>
          <wp:inline>
            <wp:extent cx="3590223" cy="1482290"/>
            <wp:effectExtent b="0" l="0" r="0" t="0"/>
            <wp:docPr descr="browserpass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23" cy="148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browserpass</w:t>
      </w:r>
    </w:p>
    <w:p>
      <w:pPr>
        <w:pStyle w:val="BodyText"/>
      </w:pPr>
      <w:r>
        <w:t xml:space="preserve">Добавление нового пароля. (рис. fig. 9)</w:t>
      </w:r>
    </w:p>
    <w:p>
      <w:pPr>
        <w:pStyle w:val="CaptionedFigure"/>
      </w:pPr>
      <w:r>
        <w:drawing>
          <wp:inline>
            <wp:extent cx="3128210" cy="808522"/>
            <wp:effectExtent b="0" l="0" r="0" t="0"/>
            <wp:docPr descr="Создание файла с новым паролем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210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файла с новым паролем</w:t>
      </w:r>
    </w:p>
    <w:p>
      <w:pPr>
        <w:pStyle w:val="BodyText"/>
      </w:pPr>
      <w:r>
        <w:t xml:space="preserve">Изменение пароля и вывод его на экран. (рис. fig. 10)</w:t>
      </w:r>
    </w:p>
    <w:p>
      <w:pPr>
        <w:pStyle w:val="CaptionedFigure"/>
      </w:pPr>
      <w:r>
        <w:drawing>
          <wp:inline>
            <wp:extent cx="3696101" cy="1193532"/>
            <wp:effectExtent b="0" l="0" r="0" t="0"/>
            <wp:docPr descr="Изменённый пароль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119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Изменённый пароль</w:t>
      </w:r>
    </w:p>
    <w:p>
      <w:pPr>
        <w:pStyle w:val="BodyText"/>
      </w:pPr>
      <w:r>
        <w:t xml:space="preserve">Установка дополнительного программного обеспечения. (рис. fig. 11)</w:t>
      </w:r>
    </w:p>
    <w:p>
      <w:pPr>
        <w:pStyle w:val="CaptionedFigure"/>
      </w:pPr>
      <w:r>
        <w:drawing>
          <wp:inline>
            <wp:extent cx="3733800" cy="1008170"/>
            <wp:effectExtent b="0" l="0" r="0" t="0"/>
            <wp:docPr descr="Дополнительные программы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Дополнительные программы</w:t>
      </w:r>
    </w:p>
    <w:p>
      <w:pPr>
        <w:pStyle w:val="BodyText"/>
      </w:pPr>
      <w:r>
        <w:t xml:space="preserve">Включение репозитория Copr. (рис. fig. 12)</w:t>
      </w:r>
    </w:p>
    <w:p>
      <w:pPr>
        <w:pStyle w:val="CaptionedFigure"/>
      </w:pPr>
      <w:r>
        <w:drawing>
          <wp:inline>
            <wp:extent cx="3733800" cy="845546"/>
            <wp:effectExtent b="0" l="0" r="0" t="0"/>
            <wp:docPr descr="Репозиторий Copr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Репозиторий Copr</w:t>
      </w:r>
    </w:p>
    <w:p>
      <w:pPr>
        <w:pStyle w:val="BodyText"/>
      </w:pPr>
      <w:r>
        <w:t xml:space="preserve">Поиск пакетов связанных со шрифтом iosevka. (рис. fig. 13)</w:t>
      </w:r>
    </w:p>
    <w:p>
      <w:pPr>
        <w:pStyle w:val="CaptionedFigure"/>
      </w:pPr>
      <w:r>
        <w:drawing>
          <wp:inline>
            <wp:extent cx="3733800" cy="306640"/>
            <wp:effectExtent b="0" l="0" r="0" t="0"/>
            <wp:docPr descr="Результат поиска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Результат поиска</w:t>
      </w:r>
    </w:p>
    <w:p>
      <w:pPr>
        <w:pStyle w:val="BodyText"/>
      </w:pPr>
      <w:r>
        <w:t xml:space="preserve">Установка шрифтов. (рис. fig. 14)</w:t>
      </w:r>
    </w:p>
    <w:p>
      <w:pPr>
        <w:pStyle w:val="CaptionedFigure"/>
      </w:pPr>
      <w:r>
        <w:drawing>
          <wp:inline>
            <wp:extent cx="3733800" cy="588601"/>
            <wp:effectExtent b="0" l="0" r="0" t="0"/>
            <wp:docPr descr="Шрифты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Шрифты</w:t>
      </w:r>
    </w:p>
    <w:p>
      <w:pPr>
        <w:pStyle w:val="BodyText"/>
      </w:pPr>
      <w:r>
        <w:t xml:space="preserve">Установка бинарного файла. (рис. fig. 15)</w:t>
      </w:r>
    </w:p>
    <w:p>
      <w:pPr>
        <w:pStyle w:val="CaptionedFigure"/>
      </w:pPr>
      <w:r>
        <w:drawing>
          <wp:inline>
            <wp:extent cx="3590223" cy="500513"/>
            <wp:effectExtent b="0" l="0" r="0" t="0"/>
            <wp:docPr descr="Скрипт определяет архитектуру процессора и операционную систему и скачивает необходимый файл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23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Скрипт определяет архитектуру процессора и операционную систему и скачивает необходимый файл</w:t>
      </w:r>
    </w:p>
    <w:p>
      <w:pPr>
        <w:pStyle w:val="BodyText"/>
      </w:pPr>
      <w:r>
        <w:t xml:space="preserve">Создание репозитория для конфигурационных файлов на основе шаблона. (рис. fig. 16)</w:t>
      </w:r>
    </w:p>
    <w:p>
      <w:pPr>
        <w:pStyle w:val="CaptionedFigure"/>
      </w:pPr>
      <w:r>
        <w:drawing>
          <wp:inline>
            <wp:extent cx="3733800" cy="327751"/>
            <wp:effectExtent b="0" l="0" r="0" t="0"/>
            <wp:docPr descr="Новый репозиторий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Новый репозиторий</w:t>
      </w:r>
    </w:p>
    <w:p>
      <w:pPr>
        <w:pStyle w:val="BodyText"/>
      </w:pPr>
      <w:r>
        <w:t xml:space="preserve">Инициализация chezmoi с моим репозиторием dotfiles. (рис. fig. 17)</w:t>
      </w:r>
    </w:p>
    <w:p>
      <w:pPr>
        <w:pStyle w:val="CaptionedFigure"/>
      </w:pPr>
      <w:r>
        <w:drawing>
          <wp:inline>
            <wp:extent cx="3733800" cy="1053123"/>
            <wp:effectExtent b="0" l="0" r="0" t="0"/>
            <wp:docPr descr="Инициализация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3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Инициализация</w:t>
      </w:r>
    </w:p>
    <w:p>
      <w:pPr>
        <w:pStyle w:val="BodyText"/>
      </w:pPr>
      <w:r>
        <w:t xml:space="preserve">Проверка изменений chezmoi. (рис. fig. 18)</w:t>
      </w:r>
    </w:p>
    <w:p>
      <w:pPr>
        <w:pStyle w:val="CaptionedFigure"/>
      </w:pPr>
      <w:r>
        <w:drawing>
          <wp:inline>
            <wp:extent cx="2444816" cy="269507"/>
            <wp:effectExtent b="0" l="0" r="0" t="0"/>
            <wp:docPr descr="Команда chezmoi diff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16" cy="26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Команда chezmoi diff</w:t>
      </w:r>
    </w:p>
    <w:p>
      <w:pPr>
        <w:pStyle w:val="BodyText"/>
      </w:pPr>
      <w:r>
        <w:t xml:space="preserve">Приминение изменений внесённых chezmoi. (рис. fig. 19)</w:t>
      </w:r>
    </w:p>
    <w:p>
      <w:pPr>
        <w:pStyle w:val="CaptionedFigure"/>
      </w:pPr>
      <w:r>
        <w:drawing>
          <wp:inline>
            <wp:extent cx="2608446" cy="231006"/>
            <wp:effectExtent b="0" l="0" r="0" t="0"/>
            <wp:docPr descr="Команда chezmoi apply -v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46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Команда chezmoi apply -v</w:t>
      </w:r>
    </w:p>
    <w:p>
      <w:pPr>
        <w:pStyle w:val="BodyText"/>
      </w:pPr>
      <w:r>
        <w:t xml:space="preserve">Инициализация chezmoi с моим репозиторием dotfiles на второй машине. (рис. fig. 20)</w:t>
      </w:r>
    </w:p>
    <w:p>
      <w:pPr>
        <w:pStyle w:val="CaptionedFigure"/>
      </w:pPr>
      <w:r>
        <w:drawing>
          <wp:inline>
            <wp:extent cx="3733800" cy="761338"/>
            <wp:effectExtent b="0" l="0" r="0" t="0"/>
            <wp:docPr descr="Инициализация" title="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1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Инициализация</w:t>
      </w:r>
    </w:p>
    <w:p>
      <w:pPr>
        <w:pStyle w:val="BodyText"/>
      </w:pPr>
      <w:r>
        <w:t xml:space="preserve">Проверка изменений chezmoi. (рис. fig. 21)</w:t>
      </w:r>
    </w:p>
    <w:p>
      <w:pPr>
        <w:pStyle w:val="CaptionedFigure"/>
      </w:pPr>
      <w:r>
        <w:drawing>
          <wp:inline>
            <wp:extent cx="2425566" cy="221381"/>
            <wp:effectExtent b="0" l="0" r="0" t="0"/>
            <wp:docPr descr="Команда chezmoi diff" title="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566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Команда chezmoi diff</w:t>
      </w:r>
    </w:p>
    <w:p>
      <w:pPr>
        <w:pStyle w:val="BodyText"/>
      </w:pPr>
      <w:r>
        <w:t xml:space="preserve">Приминение изменений внесённых chezmoi. (рис. fig. 22)</w:t>
      </w:r>
    </w:p>
    <w:p>
      <w:pPr>
        <w:pStyle w:val="CaptionedFigure"/>
      </w:pPr>
      <w:r>
        <w:drawing>
          <wp:inline>
            <wp:extent cx="2637322" cy="259882"/>
            <wp:effectExtent b="0" l="0" r="0" t="0"/>
            <wp:docPr descr="Команда chezmoi apply -v" title="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22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Команда chezmoi apply -v</w:t>
      </w:r>
    </w:p>
    <w:p>
      <w:pPr>
        <w:pStyle w:val="BodyText"/>
      </w:pPr>
      <w:r>
        <w:t xml:space="preserve">Извлечение последних изменений из репозитория и их приминение. (рис. fig. 23)</w:t>
      </w:r>
    </w:p>
    <w:p>
      <w:pPr>
        <w:pStyle w:val="CaptionedFigure"/>
      </w:pPr>
      <w:r>
        <w:drawing>
          <wp:inline>
            <wp:extent cx="2483317" cy="356134"/>
            <wp:effectExtent b="0" l="0" r="0" t="0"/>
            <wp:docPr descr="Команда chezmoi update" title="" id="91" name="Picture"/>
            <a:graphic>
              <a:graphicData uri="http://schemas.openxmlformats.org/drawingml/2006/picture">
                <pic:pic>
                  <pic:nvPicPr>
                    <pic:cNvPr descr="image/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17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Команда chezmoi update</w:t>
      </w:r>
    </w:p>
    <w:p>
      <w:pPr>
        <w:pStyle w:val="BodyText"/>
      </w:pPr>
      <w:r>
        <w:t xml:space="preserve">Извлечение последних изменений из репозитория и просмотр изменений без применений изменений. (рис. fig. 24)</w:t>
      </w:r>
    </w:p>
    <w:p>
      <w:pPr>
        <w:pStyle w:val="CaptionedFigure"/>
      </w:pPr>
      <w:r>
        <w:drawing>
          <wp:inline>
            <wp:extent cx="3733800" cy="197764"/>
            <wp:effectExtent b="0" l="0" r="0" t="0"/>
            <wp:docPr descr="Команда chezmoi update" title="" id="94" name="Picture"/>
            <a:graphic>
              <a:graphicData uri="http://schemas.openxmlformats.org/drawingml/2006/picture">
                <pic:pic>
                  <pic:nvPicPr>
                    <pic:cNvPr descr="image/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Команда chezmoi update</w:t>
      </w:r>
    </w:p>
    <w:p>
      <w:pPr>
        <w:pStyle w:val="BodyText"/>
      </w:pPr>
      <w:r>
        <w:t xml:space="preserve">Приминение изменений. (рис. fig. 25)</w:t>
      </w:r>
    </w:p>
    <w:p>
      <w:pPr>
        <w:pStyle w:val="CaptionedFigure"/>
      </w:pPr>
      <w:r>
        <w:drawing>
          <wp:inline>
            <wp:extent cx="2175309" cy="250256"/>
            <wp:effectExtent b="0" l="0" r="0" t="0"/>
            <wp:docPr descr="Команда chezmoi apply" title="" id="97" name="Picture"/>
            <a:graphic>
              <a:graphicData uri="http://schemas.openxmlformats.org/drawingml/2006/picture">
                <pic:pic>
                  <pic:nvPicPr>
                    <pic:cNvPr descr="image/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09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Команда chezmoi apply</w:t>
      </w:r>
    </w:p>
    <w:p>
      <w:pPr>
        <w:pStyle w:val="BodyText"/>
      </w:pPr>
      <w:r>
        <w:t xml:space="preserve">Изменил файл конфигурации chezmoi ~/.config/chezmoi/chezmoi.toml для автоматической фиксации и отправки изменений в репозиторий (рис. fig. 26)</w:t>
      </w:r>
    </w:p>
    <w:p>
      <w:pPr>
        <w:pStyle w:val="CaptionedFigure"/>
      </w:pPr>
      <w:r>
        <w:drawing>
          <wp:inline>
            <wp:extent cx="3590223" cy="1020277"/>
            <wp:effectExtent b="0" l="0" r="0" t="0"/>
            <wp:docPr descr="Файл конфигурации" title="" id="100" name="Picture"/>
            <a:graphic>
              <a:graphicData uri="http://schemas.openxmlformats.org/drawingml/2006/picture">
                <pic:pic>
                  <pic:nvPicPr>
                    <pic:cNvPr descr="image/2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23" cy="102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Файл конфигурации</w:t>
      </w:r>
    </w:p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полученны навыки работы с chezmoi, pass, gopass.</w:t>
      </w:r>
    </w:p>
    <w:bookmarkEnd w:id="103"/>
    <w:bookmarkStart w:id="110" w:name="список-литературы"/>
    <w:p>
      <w:pPr>
        <w:pStyle w:val="Heading1"/>
      </w:pPr>
      <w:r>
        <w:t xml:space="preserve">Список литературы</w:t>
      </w:r>
    </w:p>
    <w:bookmarkStart w:id="109" w:name="refs"/>
    <w:bookmarkStart w:id="104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104"/>
    <w:bookmarkStart w:id="105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105"/>
    <w:bookmarkStart w:id="106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106"/>
    <w:bookmarkStart w:id="108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07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08"/>
    <w:bookmarkEnd w:id="109"/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7" Target="media/rId27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107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7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Настройка рабочей среды</dc:title>
  <dc:creator>Перегудов Александр Вадимович</dc:creator>
  <dc:language>ru-RU</dc:language>
  <cp:keywords/>
  <dcterms:created xsi:type="dcterms:W3CDTF">2024-03-12T18:42:15Z</dcterms:created>
  <dcterms:modified xsi:type="dcterms:W3CDTF">2024-03-12T18:42:15Z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№ 5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