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" ContentType="application/octet-stream"/>
  <Override PartName="/word/media/5d14024317992657539a762e5d2658db98d4aff5.png" ContentType="image/png"/>
  <Override PartName="/word/media/f1340faec87f14f9de79c7b939a33fb86f4bd7ec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120640" cy="10042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anner_forma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00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MCDI500 · Magíster en Ciencia de Datos e Inteligencia Artificial</w:t>
      </w:r>
    </w:p>
    <w:p>
      <w:pPr>
        <w:pStyle w:val="BodyText"/>
      </w:pPr>
      <w:r>
        <w:rPr>
          <w:bCs/>
          <w:b/>
        </w:rPr>
        <w:t xml:space="preserve">Guía de desarrollo — Evaluación Sumativa 1 (Fases 1 y 2)</w:t>
      </w:r>
    </w:p>
    <w:p>
      <w:pPr>
        <w:pStyle w:val="BodyText"/>
      </w:pPr>
      <w:r>
        <w:t xml:space="preserve">Implementación inicial del entorno reproducible, exploración y procesamiento inicial de los datos del proyecto</w:t>
      </w:r>
    </w:p>
    <w:p>
      <w:pPr>
        <w:pStyle w:val="BodyText"/>
      </w:pPr>
      <w:r>
        <w:rPr>
          <w:iCs/>
          <w:i/>
        </w:rPr>
        <w:t xml:space="preserve">Documento de apoyo para el equipo de trabajo · Sumativa · 40% · 99 puntos</w:t>
      </w:r>
    </w:p>
    <w:bookmarkStart w:id="23" w:name="propósito-y-alcance"/>
    <w:p>
      <w:pPr>
        <w:pStyle w:val="Heading1"/>
      </w:pPr>
      <w:r>
        <w:t xml:space="preserve">1. Propósito y alcance</w:t>
      </w:r>
    </w:p>
    <w:p>
      <w:pPr>
        <w:pStyle w:val="FirstParagraph"/>
      </w:pPr>
      <w:r>
        <w:t xml:space="preserve">La Sumativa 1 integra las</w:t>
      </w:r>
      <w:r>
        <w:t xml:space="preserve"> </w:t>
      </w:r>
      <w:r>
        <w:rPr>
          <w:bCs/>
          <w:b/>
        </w:rPr>
        <w:t xml:space="preserve">Fases 1 y 2</w:t>
      </w:r>
      <w:r>
        <w:t xml:space="preserve"> </w:t>
      </w:r>
      <w:r>
        <w:t xml:space="preserve">del proyecto transversal y constituye la base técnica sobre la que se construirán las fases siguientes. El equipo debe pasar de la planificación conceptual —el mapa de la Formativa 1— a una</w:t>
      </w:r>
      <w:r>
        <w:t xml:space="preserve"> </w:t>
      </w:r>
      <w:r>
        <w:rPr>
          <w:bCs/>
          <w:b/>
        </w:rPr>
        <w:t xml:space="preserve">implementación verificable</w:t>
      </w:r>
      <w:r>
        <w:t xml:space="preserve">: un entorno reproducible, un repositorio versionado y un pipeline de datos ejecutable.</w:t>
      </w:r>
    </w:p>
    <w:p>
      <w:pPr>
        <w:pStyle w:val="BodyText"/>
      </w:pPr>
      <w:r>
        <w:t xml:space="preserve">El trabajo es</w:t>
      </w:r>
      <w:r>
        <w:t xml:space="preserve"> </w:t>
      </w:r>
      <w:r>
        <w:rPr>
          <w:bCs/>
          <w:b/>
        </w:rPr>
        <w:t xml:space="preserve">grupal (3–4 integrantes)</w:t>
      </w:r>
      <w:r>
        <w:t xml:space="preserve">, admite</w:t>
      </w:r>
      <w:r>
        <w:t xml:space="preserve"> </w:t>
      </w:r>
      <w:r>
        <w:rPr>
          <w:bCs/>
          <w:b/>
        </w:rPr>
        <w:t xml:space="preserve">un intento</w:t>
      </w:r>
      <w:r>
        <w:t xml:space="preserve"> </w:t>
      </w:r>
      <w:r>
        <w:t xml:space="preserve">y pondera el</w:t>
      </w:r>
      <w:r>
        <w:t xml:space="preserve"> </w:t>
      </w:r>
      <w:r>
        <w:rPr>
          <w:bCs/>
          <w:b/>
        </w:rPr>
        <w:t xml:space="preserve">40% de la nota final</w:t>
      </w:r>
      <w:r>
        <w:t xml:space="preserve">. Se evalúa con una rúbrica analítica de</w:t>
      </w:r>
      <w:r>
        <w:t xml:space="preserve"> </w:t>
      </w:r>
      <w:r>
        <w:rPr>
          <w:bCs/>
          <w:b/>
        </w:rPr>
        <w:t xml:space="preserve">quince criterios y 99 puntos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Alcance de cada fase.</w:t>
      </w:r>
      <w:r>
        <w:t xml:space="preserve"> </w:t>
      </w:r>
      <w:r>
        <w:t xml:space="preserve">La Fase 1 define el problema y configura el entorno; la Fase 2 obtiene, limpia y transforma los datos. Cada una tiene su propio notebook y su propio criterio en la rúbrica, con nueve puntos cada uno. Un notebook de Fase 1 que ya incluya imputaciones no está adelantado: está mal delimitado, y compromete ambos criterios a la vez.</w:t>
      </w:r>
    </w:p>
    <w:p>
      <w:pPr>
        <w:pStyle w:val="BodyText"/>
      </w:pPr>
      <w:r>
        <w:rPr>
          <w:bCs/>
          <w:b/>
        </w:rPr>
        <w:t xml:space="preserve">La regla que atraviesa toda la entrega.</w:t>
      </w:r>
      <w:r>
        <w:t xml:space="preserve"> </w:t>
      </w:r>
      <w:r>
        <w:t xml:space="preserve">Primero medir, después decidir, y justificar con la medición. La rúbrica evalúa el razonamiento, no la técnica aplicada: afirmar que una variable tiene valores extremos sin mostrar la tabla que los evidencia es la incoherencia que más penaliza el instrumento.</w:t>
      </w:r>
    </w:p>
    <w:bookmarkEnd w:id="23"/>
    <w:bookmarkStart w:id="24" w:name="qué-se-entrega"/>
    <w:p>
      <w:pPr>
        <w:pStyle w:val="Heading1"/>
      </w:pPr>
      <w:r>
        <w:t xml:space="preserve">2. Qué se entrega</w:t>
      </w:r>
    </w:p>
    <w:p>
      <w:pPr>
        <w:pStyle w:val="FirstParagraph"/>
      </w:pPr>
      <w:r>
        <w:t xml:space="preserve">Cuatro productos que deben ser coherentes entre sí: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1200"/>
        <w:gridCol w:w="5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contiene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apartados desarrollados en esta guía, con las decisiones justificadas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F1 y F2, README, dependencias e historial de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del proyecto y configuración del entorno 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Notebooks 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Obtención, exploración, limpieza, transformación y validación</w:t>
            </w:r>
          </w:p>
        </w:tc>
      </w:tr>
    </w:tbl>
    <w:p>
      <w:pPr>
        <w:pStyle w:val="BodyText"/>
      </w:pPr>
      <w:r>
        <w:t xml:space="preserve">Se suman las evidencias de ejecución y trazabilidad —salidas, celdas ejecutadas, pruebas y referencias a commits— y los anexos técnicos que correspondan.</w:t>
      </w:r>
    </w:p>
    <w:bookmarkEnd w:id="24"/>
    <w:bookmarkStart w:id="25" w:name="dónde-se-juegan-los-99-puntos"/>
    <w:p>
      <w:pPr>
        <w:pStyle w:val="Heading1"/>
      </w:pPr>
      <w:r>
        <w:t xml:space="preserve">3. Dónde se juegan los 99 puntos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00"/>
        <w:gridCol w:w="900"/>
        <w:gridCol w:w="5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Ámbito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Notebooks y código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científicas, codificación funcional, preprocesamiento, validación, notebooks F1 y F2, vinculación del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técnico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 e índice, introducción, problemática y objetivos, aspectos formales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 y estructura del repositorio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Consecuencia práctica.</w:t>
      </w:r>
      <w:r>
        <w:t xml:space="preserve"> </w:t>
      </w:r>
      <w:r>
        <w:t xml:space="preserve">Veintiún puntos —más de una quinta parte de la nota— no dependen del código. Un avance con notebooks impecables y un informe descuidado pierde más de lo que la mayoría de los equipos supone.</w:t>
      </w:r>
    </w:p>
    <w:bookmarkEnd w:id="25"/>
    <w:bookmarkStart w:id="41" w:name="desarrollo-por-apartado"/>
    <w:p>
      <w:pPr>
        <w:pStyle w:val="Heading1"/>
      </w:pPr>
      <w:r>
        <w:t xml:space="preserve">4. Desarrollo por apartado</w:t>
      </w:r>
    </w:p>
    <w:p>
      <w:pPr>
        <w:pStyle w:val="FirstParagraph"/>
      </w:pPr>
      <w:r>
        <w:t xml:space="preserve">Cada apartado del entregable indica el criterio de la rúbrica que resuelve, qué debe desarrollar el equipo y qué distingue el nivel superior.</w:t>
      </w:r>
    </w:p>
    <w:bookmarkStart w:id="26" w:name="portada-e-índice"/>
    <w:p>
      <w:pPr>
        <w:pStyle w:val="Heading2"/>
      </w:pPr>
      <w:r>
        <w:t xml:space="preserve">4.1 Portada e índice</w:t>
      </w:r>
    </w:p>
    <w:p>
      <w:pPr>
        <w:pStyle w:val="FirstParagraph"/>
      </w:pPr>
      <w:r>
        <w:rPr>
          <w:bCs/>
          <w:b/>
        </w:rPr>
        <w:t xml:space="preserve">Rúbrica · Criterio 1 — Portada e índice (3 pts).</w:t>
      </w:r>
    </w:p>
    <w:p>
      <w:pPr>
        <w:pStyle w:val="BodyText"/>
      </w:pPr>
      <w:r>
        <w:rPr>
          <w:bCs/>
          <w:b/>
        </w:rPr>
        <w:t xml:space="preserve">Qué desarrollar.</w:t>
      </w:r>
      <w:r>
        <w:t xml:space="preserve"> </w:t>
      </w:r>
      <w:r>
        <w:t xml:space="preserve">Portada institucional con nombre y código del curso, título del proyecto, integrantes, docente y fecha. Índice automático generado desde los estilos de título, con numeración coherente.</w:t>
      </w:r>
    </w:p>
    <w:p>
      <w:pPr>
        <w:pStyle w:val="BodyText"/>
      </w:pPr>
      <w:r>
        <w:rPr>
          <w:bCs/>
          <w:b/>
        </w:rPr>
        <w:t xml:space="preserve">Sugerencia.</w:t>
      </w:r>
      <w:r>
        <w:t xml:space="preserve"> </w:t>
      </w:r>
      <w:r>
        <w:t xml:space="preserve">Incluyan también el enlace al repositorio en la portada: el evaluador lo necesita a mano y de otro modo hay que buscarlo dentro del texto.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Un índice escrito a mano o sin actualizar antes de exportar.</w:t>
      </w:r>
    </w:p>
    <w:bookmarkEnd w:id="26"/>
    <w:bookmarkStart w:id="27" w:name="introducción-y-contextualización"/>
    <w:p>
      <w:pPr>
        <w:pStyle w:val="Heading2"/>
      </w:pPr>
      <w:r>
        <w:t xml:space="preserve">4.2 Introducción y contextualización</w:t>
      </w:r>
    </w:p>
    <w:p>
      <w:pPr>
        <w:pStyle w:val="FirstParagraph"/>
      </w:pPr>
      <w:r>
        <w:rPr>
          <w:bCs/>
          <w:b/>
        </w:rPr>
        <w:t xml:space="preserve">Rúbrica · Criterio 2 — Introducción y contextualización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1"/>
        </w:numPr>
      </w:pPr>
      <w:r>
        <w:t xml:space="preserve">El entorno del que provienen los datos, sus antecedentes y la relevancia técnica de la situación.</w:t>
      </w:r>
    </w:p>
    <w:p>
      <w:pPr>
        <w:numPr>
          <w:ilvl w:val="0"/>
          <w:numId w:val="1001"/>
        </w:numPr>
      </w:pPr>
      <w:r>
        <w:t xml:space="preserve">El problema con precisión: qué se busca comprender, medir o resolver mediante análisis de datos.</w:t>
      </w:r>
    </w:p>
    <w:p>
      <w:pPr>
        <w:numPr>
          <w:ilvl w:val="0"/>
          <w:numId w:val="1001"/>
        </w:numPr>
      </w:pPr>
      <w:r>
        <w:t xml:space="preserve">El objetivo general y una referencia breve al alcance del informe.</w:t>
      </w:r>
    </w:p>
    <w:p>
      <w:pPr>
        <w:numPr>
          <w:ilvl w:val="0"/>
          <w:numId w:val="1001"/>
        </w:numPr>
      </w:pPr>
      <w:r>
        <w:t xml:space="preserve">La justificación técnica: por qué la problemática requiere programación y análisis de datos.</w:t>
      </w:r>
    </w:p>
    <w:p>
      <w:pPr>
        <w:numPr>
          <w:ilvl w:val="0"/>
          <w:numId w:val="1001"/>
        </w:numPr>
      </w:pPr>
      <w:r>
        <w:t xml:space="preserve">La conexión explícita con las fases F1 a F4, anticipando qué aporta cada una.</w:t>
      </w:r>
    </w:p>
    <w:p>
      <w:pPr>
        <w:pStyle w:val="FirstParagraph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La introducción sitúa al lector en el problema</w:t>
      </w:r>
      <w:r>
        <w:t xml:space="preserve"> </w:t>
      </w:r>
      <w:r>
        <w:rPr>
          <w:bCs/>
          <w:b/>
        </w:rPr>
        <w:t xml:space="preserve">específico</w:t>
      </w:r>
      <w:r>
        <w:t xml:space="preserve"> </w:t>
      </w:r>
      <w:r>
        <w:t xml:space="preserve">del equipo, no en la ciencia de datos en general.</w:t>
      </w:r>
    </w:p>
    <w:bookmarkEnd w:id="27"/>
    <w:bookmarkStart w:id="28" w:name="X0b6fc800b30777fd1d8f95369a593621f5d2ffc"/>
    <w:p>
      <w:pPr>
        <w:pStyle w:val="Heading2"/>
      </w:pPr>
      <w:r>
        <w:t xml:space="preserve">4.3 Definición de la problemática y objetivos</w:t>
      </w:r>
    </w:p>
    <w:p>
      <w:pPr>
        <w:pStyle w:val="FirstParagraph"/>
      </w:pPr>
      <w:r>
        <w:rPr>
          <w:bCs/>
          <w:b/>
        </w:rPr>
        <w:t xml:space="preserve">Rúbrica · Criterio 3 — Definición de la problemática y objetivos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2"/>
        </w:numPr>
      </w:pPr>
      <w:r>
        <w:t xml:space="preserve">La formulación precisa del fenómeno o situación que se analizará.</w:t>
      </w:r>
    </w:p>
    <w:p>
      <w:pPr>
        <w:numPr>
          <w:ilvl w:val="0"/>
          <w:numId w:val="1002"/>
        </w:numPr>
      </w:pPr>
      <w:r>
        <w:t xml:space="preserve">Las preguntas centrales que orientan la búsqueda de evidencias.</w:t>
      </w:r>
    </w:p>
    <w:p>
      <w:pPr>
        <w:numPr>
          <w:ilvl w:val="0"/>
          <w:numId w:val="1002"/>
        </w:numPr>
      </w:pPr>
      <w:r>
        <w:t xml:space="preserve">El objetivo general y entre tres y cinco objetivos específicos medibles.</w:t>
      </w:r>
    </w:p>
    <w:p>
      <w:pPr>
        <w:numPr>
          <w:ilvl w:val="0"/>
          <w:numId w:val="1002"/>
        </w:numPr>
      </w:pPr>
      <w:r>
        <w:t xml:space="preserve">El alcance: qué será abordado y qué queda fuera, con sus límites técnicos y de datos.</w:t>
      </w:r>
    </w:p>
    <w:p>
      <w:pPr>
        <w:numPr>
          <w:ilvl w:val="0"/>
          <w:numId w:val="1002"/>
        </w:numPr>
      </w:pPr>
      <w:r>
        <w:t xml:space="preserve">Los supuestos relevantes que permiten interpretar los resultados: calidad del conjunto, naturaleza de las variables, restricciones metodológicas.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Los supuestos son el apartado que más se omite y el más fácil de redactar: son las condiciones bajo las cuales sus resultados son interpretables. Declararlos evidencia comprensión, no debilidad.</w:t>
      </w:r>
    </w:p>
    <w:bookmarkEnd w:id="28"/>
    <w:bookmarkStart w:id="29" w:name="aplicación-de-herramientas-científicas"/>
    <w:p>
      <w:pPr>
        <w:pStyle w:val="Heading2"/>
      </w:pPr>
      <w:r>
        <w:t xml:space="preserve">4.4 Aplicación de herramientas científicas</w:t>
      </w:r>
    </w:p>
    <w:p>
      <w:pPr>
        <w:pStyle w:val="FirstParagraph"/>
      </w:pPr>
      <w:r>
        <w:rPr>
          <w:bCs/>
          <w:b/>
        </w:rPr>
        <w:t xml:space="preserve">Rúbrica · Criterio 4 — Aplicación de herramientas científicas (9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3"/>
        </w:numPr>
      </w:pPr>
      <w:r>
        <w:t xml:space="preserve">Uso de las librerías del ecosistema científico —NumPy, Pandas— dentro de funciones, no en celdas sueltas.</w:t>
      </w:r>
    </w:p>
    <w:p>
      <w:pPr>
        <w:numPr>
          <w:ilvl w:val="0"/>
          <w:numId w:val="1003"/>
        </w:numPr>
      </w:pPr>
      <w:r>
        <w:t xml:space="preserve">Integración de las herramientas en las tareas de preparación, transformación y análisis.</w:t>
      </w:r>
    </w:p>
    <w:p>
      <w:pPr>
        <w:numPr>
          <w:ilvl w:val="0"/>
          <w:numId w:val="1003"/>
        </w:numPr>
      </w:pPr>
      <w:r>
        <w:t xml:space="preserve">Funciones, módulos o scripts que ejecuten el flujo de manera coherente, con correspondencia verificable entre entrada, procesamiento y resultado.</w:t>
      </w:r>
    </w:p>
    <w:p>
      <w:pPr>
        <w:pStyle w:val="FirstParagraph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Las herramientas resuelven un problema del proyecto, no aparecen para demostrar que se conocen. Cada una tiene un propósito declarado en el punto donde se usa.</w:t>
      </w:r>
    </w:p>
    <w:bookmarkEnd w:id="29"/>
    <w:bookmarkStart w:id="30" w:name="reproducibilidad-técnica"/>
    <w:p>
      <w:pPr>
        <w:pStyle w:val="Heading2"/>
      </w:pPr>
      <w:r>
        <w:t xml:space="preserve">4.5 Reproducibilidad técnica</w:t>
      </w:r>
    </w:p>
    <w:p>
      <w:pPr>
        <w:pStyle w:val="FirstParagraph"/>
      </w:pPr>
      <w:r>
        <w:rPr>
          <w:bCs/>
          <w:b/>
        </w:rPr>
        <w:t xml:space="preserve">Rúbrica · Criterio 5 — Reproducibilidad técnica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4"/>
        </w:numPr>
      </w:pPr>
      <w:r>
        <w:t xml:space="preserve">Registro del entorno: versiones de Python y de cada dependencia.</w:t>
      </w:r>
    </w:p>
    <w:p>
      <w:pPr>
        <w:numPr>
          <w:ilvl w:val="0"/>
          <w:numId w:val="1004"/>
        </w:numPr>
      </w:pPr>
      <w:r>
        <w:t xml:space="preserve">Archivo de dependencias (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o equivalente) con las versiones</w:t>
      </w:r>
      <w:r>
        <w:t xml:space="preserve"> </w:t>
      </w:r>
      <w:r>
        <w:rPr>
          <w:bCs/>
          <w:b/>
        </w:rPr>
        <w:t xml:space="preserve">efectivamente instaladas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Evidencia de que el proyecto se ejecuta de principio a fin sin errores.</w:t>
      </w:r>
    </w:p>
    <w:p>
      <w:pPr>
        <w:numPr>
          <w:ilvl w:val="0"/>
          <w:numId w:val="1004"/>
        </w:numPr>
      </w:pPr>
      <w:r>
        <w:t xml:space="preserve">Configuración declarada del ambiente virtual.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Usen rutas relativas y fijen la semilla aleatoria. Una ruta absoluta funciona en un solo computador del mundo; sin semilla, sus resultados cambian en cada ejecución y nadie puede verificarlos.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Declarar dependencias sin versión, o entregar un notebook que solo corre en el equipo de quien lo escribió.</w:t>
      </w:r>
    </w:p>
    <w:bookmarkEnd w:id="30"/>
    <w:bookmarkStart w:id="31" w:name="control-de-versiones"/>
    <w:p>
      <w:pPr>
        <w:pStyle w:val="Heading2"/>
      </w:pPr>
      <w:r>
        <w:t xml:space="preserve">4.6 Control de versiones</w:t>
      </w:r>
    </w:p>
    <w:p>
      <w:pPr>
        <w:pStyle w:val="FirstParagraph"/>
      </w:pPr>
      <w:r>
        <w:rPr>
          <w:bCs/>
          <w:b/>
        </w:rPr>
        <w:t xml:space="preserve">Rúbrica · Criterio 6 — Control de versiones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5"/>
        </w:numPr>
      </w:pPr>
      <w:r>
        <w:t xml:space="preserve">Uso sistemático de Git y GitHub desde el inicio del trabajo.</w:t>
      </w:r>
    </w:p>
    <w:p>
      <w:pPr>
        <w:numPr>
          <w:ilvl w:val="0"/>
          <w:numId w:val="1005"/>
        </w:numPr>
      </w:pPr>
      <w:r>
        <w:t xml:space="preserve">Commits descriptivos y frecuentes, con una convención de prefijos declarada.</w:t>
      </w:r>
    </w:p>
    <w:p>
      <w:pPr>
        <w:numPr>
          <w:ilvl w:val="0"/>
          <w:numId w:val="1005"/>
        </w:numPr>
      </w:pPr>
      <w:r>
        <w:t xml:space="preserve">Uso de ramas cuando corresponda, con integración mediante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Historial trazable que muestre el avance progresivo.</w:t>
      </w:r>
    </w:p>
    <w:p>
      <w:pPr>
        <w:pStyle w:val="FirstParagraph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Cada integrante tiene commits identificables, repartidos en el tiempo. El historial permite reconstruir cómo evolucionó el trabajo.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Un repositorio con un solo autor. Es el patrón más frecuente —una persona recibe los archivos y los sube— y afecta la nota del grupo completo por más terminado que esté el contenido.</w:t>
      </w:r>
    </w:p>
    <w:bookmarkEnd w:id="31"/>
    <w:bookmarkStart w:id="32" w:name="documentación-del-proceso"/>
    <w:p>
      <w:pPr>
        <w:pStyle w:val="Heading2"/>
      </w:pPr>
      <w:r>
        <w:t xml:space="preserve">4.7 Documentación del proceso</w:t>
      </w:r>
    </w:p>
    <w:p>
      <w:pPr>
        <w:pStyle w:val="FirstParagraph"/>
      </w:pPr>
      <w:r>
        <w:rPr>
          <w:bCs/>
          <w:b/>
        </w:rPr>
        <w:t xml:space="preserve">Rúbrica · Criterio 7 — Documentación del proceso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6"/>
        </w:numPr>
      </w:pPr>
      <w:r>
        <w:t xml:space="preserve">Registro de las decisiones técnicas de ambas fases, con su motivo y su impacto.</w:t>
      </w:r>
    </w:p>
    <w:p>
      <w:pPr>
        <w:numPr>
          <w:ilvl w:val="0"/>
          <w:numId w:val="1006"/>
        </w:numPr>
      </w:pPr>
      <w:r>
        <w:t xml:space="preserve">Fragmentos de código comentados y explicados.</w:t>
      </w:r>
    </w:p>
    <w:p>
      <w:pPr>
        <w:numPr>
          <w:ilvl w:val="0"/>
          <w:numId w:val="1006"/>
        </w:numPr>
      </w:pPr>
      <w:r>
        <w:t xml:space="preserve">Justificación de los cambios y de los enfoques descartados.</w:t>
      </w:r>
    </w:p>
    <w:p>
      <w:pPr>
        <w:numPr>
          <w:ilvl w:val="0"/>
          <w:numId w:val="1006"/>
        </w:numPr>
      </w:pPr>
      <w:r>
        <w:t xml:space="preserve">Coherencia entre lo que dice el informe, lo que muestran los notebooks y lo que hay en el repositorio.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Lleven una bitácora mientras trabajan: una línea por decisión, con sus cifras. Reconstruir de memoria cuántos valores imputaron y con qué criterio, dos semanas después, es la principal fuente de imprecisiones del informe.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La documentación explica</w:t>
      </w:r>
      <w:r>
        <w:t xml:space="preserve"> </w:t>
      </w:r>
      <w:r>
        <w:rPr>
          <w:bCs/>
          <w:b/>
        </w:rPr>
        <w:t xml:space="preserve">por qué</w:t>
      </w:r>
      <w:r>
        <w:t xml:space="preserve"> </w:t>
      </w:r>
      <w:r>
        <w:t xml:space="preserve">se hizo, no solo qué se hizo. «Se imputó la mediana» describe; «se imputó la mediana porque la variable presenta valores extremos que desplazarían el promedio» justifica.</w:t>
      </w:r>
    </w:p>
    <w:bookmarkEnd w:id="32"/>
    <w:bookmarkStart w:id="33" w:name="repositorio-github"/>
    <w:p>
      <w:pPr>
        <w:pStyle w:val="Heading2"/>
      </w:pPr>
      <w:r>
        <w:t xml:space="preserve">4.8 Repositorio GitHub</w:t>
      </w:r>
    </w:p>
    <w:p>
      <w:pPr>
        <w:pStyle w:val="FirstParagraph"/>
      </w:pPr>
      <w:r>
        <w:rPr>
          <w:bCs/>
          <w:b/>
        </w:rPr>
        <w:t xml:space="preserve">Rúbrica · Criterio 8 — Repositorio GitHub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7"/>
        </w:numPr>
      </w:pPr>
      <w:r>
        <w:t xml:space="preserve">Carpetas</w:t>
      </w:r>
      <w:r>
        <w:t xml:space="preserve"> </w:t>
      </w:r>
      <w:r>
        <w:rPr>
          <w:bCs/>
          <w:b/>
        </w:rPr>
        <w:t xml:space="preserve">F1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F2</w:t>
      </w:r>
      <w:r>
        <w:t xml:space="preserve"> </w:t>
      </w:r>
      <w:r>
        <w:t xml:space="preserve">claramente identificadas, con una estructura ordenada.</w:t>
      </w:r>
    </w:p>
    <w:p>
      <w:pPr>
        <w:numPr>
          <w:ilvl w:val="0"/>
          <w:numId w:val="1007"/>
        </w:numPr>
      </w:pPr>
      <w:r>
        <w:t xml:space="preserve">README técnico con descripción del proyecto, estructura, dependencias e instrucciones de ejecución de cada notebook.</w:t>
      </w:r>
    </w:p>
    <w:p>
      <w:pPr>
        <w:numPr>
          <w:ilvl w:val="0"/>
          <w:numId w:val="1007"/>
        </w:numPr>
      </w:pPr>
      <w:r>
        <w:t xml:space="preserve">Historial de commits descriptivos y evidencia de contribuciones individuales.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Generen el README desde el notebook, a partir de la configuración del proyecto. Así la documentación no puede desactualizarse respecto del código.</w:t>
      </w:r>
    </w:p>
    <w:bookmarkEnd w:id="33"/>
    <w:bookmarkStart w:id="34" w:name="codificación-funcional"/>
    <w:p>
      <w:pPr>
        <w:pStyle w:val="Heading2"/>
      </w:pPr>
      <w:r>
        <w:t xml:space="preserve">4.9 Codificación funcional</w:t>
      </w:r>
    </w:p>
    <w:p>
      <w:pPr>
        <w:pStyle w:val="FirstParagraph"/>
      </w:pPr>
      <w:r>
        <w:rPr>
          <w:bCs/>
          <w:b/>
        </w:rPr>
        <w:t xml:space="preserve">Rúbrica · Criterio 9 — Codificación funcional (9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8"/>
        </w:numPr>
      </w:pPr>
      <w:r>
        <w:t xml:space="preserve">Cada etapa del pipeline encapsulada en una función con parámetros claros y un solo propósito.</w:t>
      </w:r>
    </w:p>
    <w:p>
      <w:pPr>
        <w:numPr>
          <w:ilvl w:val="0"/>
          <w:numId w:val="1008"/>
        </w:numPr>
      </w:pPr>
      <w:r>
        <w:t xml:space="preserve">Separación adecuada de tareas y flujo de datos verificable.</w:t>
      </w:r>
    </w:p>
    <w:p>
      <w:pPr>
        <w:numPr>
          <w:ilvl w:val="0"/>
          <w:numId w:val="1008"/>
        </w:numPr>
      </w:pPr>
      <w:r>
        <w:t xml:space="preserve">Código comentado donde la razón de una línea no sea evidente.</w:t>
      </w:r>
    </w:p>
    <w:p>
      <w:pPr>
        <w:numPr>
          <w:ilvl w:val="0"/>
          <w:numId w:val="1008"/>
        </w:numPr>
      </w:pPr>
      <w:r>
        <w:t xml:space="preserve">Estilo limpio y mantenible.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Trabajen siempre sobre una copia con</w:t>
      </w:r>
      <w:r>
        <w:t xml:space="preserve"> </w:t>
      </w:r>
      <w:r>
        <w:rPr>
          <w:rStyle w:val="VerbatimChar"/>
        </w:rPr>
        <w:t xml:space="preserve">datos.copy()</w:t>
      </w:r>
      <w:r>
        <w:t xml:space="preserve">. Sin eso, una transformación modifica el conjunto original y se pierde la trazabilidad que la rúbrica evalúa.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Repetir el mismo bloque para cada columna, y código que solo corre de arriba abajo una vez sin poder reutilizarse.</w:t>
      </w:r>
    </w:p>
    <w:bookmarkEnd w:id="34"/>
    <w:bookmarkStart w:id="35" w:name="X601dc77fcb73543f1f617fd3a0122b80004fc4c"/>
    <w:p>
      <w:pPr>
        <w:pStyle w:val="Heading2"/>
      </w:pPr>
      <w:r>
        <w:t xml:space="preserve">4.10 Preprocesamiento y transformación del dataset</w:t>
      </w:r>
    </w:p>
    <w:p>
      <w:pPr>
        <w:pStyle w:val="FirstParagraph"/>
      </w:pPr>
      <w:r>
        <w:rPr>
          <w:bCs/>
          <w:b/>
        </w:rPr>
        <w:t xml:space="preserve">Rúbrica · Criterio 10 — Preprocesamiento y transformación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09"/>
        </w:numPr>
      </w:pPr>
      <w:r>
        <w:t xml:space="preserve">Diagnóstico previo: dimensiones, tipos, nulos, duplicados y valores atípicos.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Comparación de alternativas</w:t>
      </w:r>
      <w:r>
        <w:t xml:space="preserve"> </w:t>
      </w:r>
      <w:r>
        <w:t xml:space="preserve">antes de decidir el tratamiento de los valores faltantes: eliminar, imputar por media, por mediana o por grupo.</w:t>
      </w:r>
    </w:p>
    <w:p>
      <w:pPr>
        <w:numPr>
          <w:ilvl w:val="0"/>
          <w:numId w:val="1009"/>
        </w:numPr>
      </w:pPr>
      <w:r>
        <w:t xml:space="preserve">Transformaciones según el rol de cada variable: casting, escalamiento de continuas, codificación de categóricas —one-hot para nominales, orden declarado para ordinales—.</w:t>
      </w:r>
    </w:p>
    <w:p>
      <w:pPr>
        <w:numPr>
          <w:ilvl w:val="0"/>
          <w:numId w:val="1009"/>
        </w:numPr>
      </w:pPr>
      <w:r>
        <w:t xml:space="preserve">Validación del conjunto resultante y justificación técnica de cada transformación.</w:t>
      </w:r>
    </w:p>
    <w:p>
      <w:pPr>
        <w:pStyle w:val="FirstParagraph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Toda imputación por un valor central reduce la variabilidad de la variable. Medir ese efecto y declararlo es exactamente el tipo de justificación que distingue el desempeño superior.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Normalizar «porque corresponde», imputar sin explicar el criterio, y dejar que la librería ordene alfabéticamente una variable ordinal.</w:t>
      </w:r>
    </w:p>
    <w:bookmarkEnd w:id="35"/>
    <w:bookmarkStart w:id="36" w:name="Xc33e5331adc425d576709b20b5ef0b3ecbf4d58"/>
    <w:p>
      <w:pPr>
        <w:pStyle w:val="Heading2"/>
      </w:pPr>
      <w:r>
        <w:t xml:space="preserve">4.11 Validación técnica y verificación del código</w:t>
      </w:r>
    </w:p>
    <w:p>
      <w:pPr>
        <w:pStyle w:val="FirstParagraph"/>
      </w:pPr>
      <w:r>
        <w:rPr>
          <w:bCs/>
          <w:b/>
        </w:rPr>
        <w:t xml:space="preserve">Rúbrica · Criterio 11 — Validación técnica y verificación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10"/>
        </w:numPr>
      </w:pPr>
      <w:r>
        <w:t xml:space="preserve">Verificación de</w:t>
      </w:r>
      <w:r>
        <w:t xml:space="preserve"> </w:t>
      </w:r>
      <w:r>
        <w:rPr>
          <w:bCs/>
          <w:b/>
        </w:rPr>
        <w:t xml:space="preserve">casos normales, casos límite y excepciones</w:t>
      </w:r>
      <w:r>
        <w:t xml:space="preserve">: columna sin nulos, una sola categoría, valores fuera de rango, tipos inesperados.</w:t>
      </w:r>
    </w:p>
    <w:p>
      <w:pPr>
        <w:numPr>
          <w:ilvl w:val="0"/>
          <w:numId w:val="1010"/>
        </w:numPr>
      </w:pPr>
      <w:r>
        <w:t xml:space="preserve">Comprobación de resultados intermedios con evidencia visible: salidas, conteos antes y después, perfil del conjunto final.</w:t>
      </w:r>
    </w:p>
    <w:p>
      <w:pPr>
        <w:numPr>
          <w:ilvl w:val="0"/>
          <w:numId w:val="1010"/>
        </w:numPr>
      </w:pPr>
      <w:r>
        <w:t xml:space="preserve">Pruebas manuales o automatizadas, y trazabilidad del proceso de verificación.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Las comprobaciones con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son baratas y detectan el problema donde se origina, no veinte celdas después.</w:t>
      </w:r>
    </w:p>
    <w:p>
      <w:pPr>
        <w:pStyle w:val="BodyText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Afirmar que «todo funciona» sin mostrar evidencia, y borrar las salidas del notebook antes de entregar.</w:t>
      </w:r>
    </w:p>
    <w:bookmarkEnd w:id="36"/>
    <w:bookmarkStart w:id="37" w:name="notebook-f1_definicion.ipynb"/>
    <w:p>
      <w:pPr>
        <w:pStyle w:val="Heading2"/>
      </w:pPr>
      <w:r>
        <w:t xml:space="preserve">4.12 Notebook F1_Definicion.ipynb</w:t>
      </w:r>
    </w:p>
    <w:p>
      <w:pPr>
        <w:pStyle w:val="FirstParagraph"/>
      </w:pPr>
      <w:r>
        <w:rPr>
          <w:bCs/>
          <w:b/>
        </w:rPr>
        <w:t xml:space="preserve">Rúbrica · Criterio 12 — Notebook F1 ejecutado y documentado (9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11"/>
        </w:numPr>
      </w:pPr>
      <w:r>
        <w:t xml:space="preserve">Presentación de la problemática, el objetivo general y los objetivos específicos en celdas narrativas.</w:t>
      </w:r>
    </w:p>
    <w:p>
      <w:pPr>
        <w:numPr>
          <w:ilvl w:val="0"/>
          <w:numId w:val="1011"/>
        </w:numPr>
      </w:pPr>
      <w:r>
        <w:t xml:space="preserve">Código base que ejemplifique el flujo reproducible conceptualizado en el mapa: verificación del entorno, estructura del proyecto y reconocimiento inicial del conjunto de datos.</w:t>
      </w:r>
    </w:p>
    <w:p>
      <w:pPr>
        <w:numPr>
          <w:ilvl w:val="0"/>
          <w:numId w:val="1011"/>
        </w:numPr>
      </w:pPr>
      <w:r>
        <w:t xml:space="preserve">Evidencia de modularidad cuando corresponda a esta fase.</w:t>
      </w:r>
    </w:p>
    <w:p>
      <w:pPr>
        <w:numPr>
          <w:ilvl w:val="0"/>
          <w:numId w:val="1011"/>
        </w:numPr>
      </w:pPr>
      <w:r>
        <w:t xml:space="preserve">Documentación técnica integrada y correspondencia total con el informe.</w:t>
      </w:r>
    </w:p>
    <w:p>
      <w:pPr>
        <w:pStyle w:val="FirstParagraph"/>
      </w:pPr>
      <w:r>
        <w:rPr>
          <w:bCs/>
          <w:b/>
        </w:rPr>
        <w:t xml:space="preserve">Alcance.</w:t>
      </w:r>
      <w:r>
        <w:t xml:space="preserve"> </w:t>
      </w:r>
      <w:r>
        <w:t xml:space="preserve">En este notebook</w:t>
      </w:r>
      <w:r>
        <w:t xml:space="preserve"> </w:t>
      </w:r>
      <w:r>
        <w:rPr>
          <w:bCs/>
          <w:b/>
        </w:rPr>
        <w:t xml:space="preserve">no se limpia, no se imputa y no se transforma</w:t>
      </w:r>
      <w:r>
        <w:t xml:space="preserve">. Eso corresponde al notebook de la Fase 2 y es un criterio distinto.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Corre completo tras</w:t>
      </w:r>
      <w:r>
        <w:t xml:space="preserve"> </w:t>
      </w:r>
      <w:r>
        <w:rPr>
          <w:iCs/>
          <w:i/>
        </w:rPr>
        <w:t xml:space="preserve">Kernel → Restart Kernel and Run All Cells</w:t>
      </w:r>
      <w:r>
        <w:t xml:space="preserve">, dentro del entorno configurado.</w:t>
      </w:r>
    </w:p>
    <w:bookmarkEnd w:id="37"/>
    <w:bookmarkStart w:id="38" w:name="notebooks-ejecutables-de-la-fase-2"/>
    <w:p>
      <w:pPr>
        <w:pStyle w:val="Heading2"/>
      </w:pPr>
      <w:r>
        <w:t xml:space="preserve">4.13 Notebooks ejecutables de la Fase 2</w:t>
      </w:r>
    </w:p>
    <w:p>
      <w:pPr>
        <w:pStyle w:val="FirstParagraph"/>
      </w:pPr>
      <w:r>
        <w:rPr>
          <w:bCs/>
          <w:b/>
        </w:rPr>
        <w:t xml:space="preserve">Rúbrica · Criterio 13 — Notebook F2 ejecutado y documentado (9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12"/>
        </w:numPr>
      </w:pPr>
      <w:r>
        <w:t xml:space="preserve">Celdas ordenadas según el flujo: obtención → exploración → limpieza → transformación → validación.</w:t>
      </w:r>
    </w:p>
    <w:p>
      <w:pPr>
        <w:numPr>
          <w:ilvl w:val="0"/>
          <w:numId w:val="1012"/>
        </w:numPr>
      </w:pPr>
      <w:r>
        <w:t xml:space="preserve">Una celda narrativa que abra cada etapa y explique la lógica del bloque.</w:t>
      </w:r>
    </w:p>
    <w:p>
      <w:pPr>
        <w:numPr>
          <w:ilvl w:val="0"/>
          <w:numId w:val="1012"/>
        </w:numPr>
      </w:pPr>
      <w:r>
        <w:t xml:space="preserve">Resultados intermedios verificables y trazabilidad con el repositorio y el informe.</w:t>
      </w:r>
    </w:p>
    <w:p>
      <w:pPr>
        <w:numPr>
          <w:ilvl w:val="0"/>
          <w:numId w:val="1012"/>
        </w:numPr>
      </w:pPr>
      <w:r>
        <w:t xml:space="preserve">Numeración de ejecución continua: si está desordenada, reinicien y vuelvan a ejecutar.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Al cerrar la fase, exporten el conjunto procesado a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y describan su estructura final. Ese archivo es la entrada directa de la Fase 3, y evita repetir el trabajo.</w:t>
      </w:r>
    </w:p>
    <w:bookmarkEnd w:id="38"/>
    <w:bookmarkStart w:id="39" w:name="Xf1b42c3cd07d4d5f428405f22e3cb1feac44a61"/>
    <w:p>
      <w:pPr>
        <w:pStyle w:val="Heading2"/>
      </w:pPr>
      <w:r>
        <w:t xml:space="preserve">4.14 Vinculación del mapa conceptual con el avance</w:t>
      </w:r>
    </w:p>
    <w:p>
      <w:pPr>
        <w:pStyle w:val="FirstParagraph"/>
      </w:pPr>
      <w:r>
        <w:rPr>
          <w:bCs/>
          <w:b/>
        </w:rPr>
        <w:t xml:space="preserve">Rúbrica · Criterio 14 — Vinculación del mapa conceptual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13"/>
        </w:numPr>
      </w:pPr>
      <w:r>
        <w:t xml:space="preserve">Correspondencia explícita entre cada elemento del mapa y su implementación real.</w:t>
      </w:r>
    </w:p>
    <w:p>
      <w:pPr>
        <w:numPr>
          <w:ilvl w:val="0"/>
          <w:numId w:val="1013"/>
        </w:numPr>
      </w:pPr>
      <w:r>
        <w:t xml:space="preserve">Identificación de qué componentes se materializaron en el repositorio, los notebooks, el README y el informe.</w:t>
      </w:r>
    </w:p>
    <w:p>
      <w:pPr>
        <w:numPr>
          <w:ilvl w:val="0"/>
          <w:numId w:val="1013"/>
        </w:numPr>
      </w:pPr>
      <w:r>
        <w:t xml:space="preserve">Identificación de qué elementos quedan</w:t>
      </w:r>
      <w:r>
        <w:t xml:space="preserve"> </w:t>
      </w:r>
      <w:r>
        <w:rPr>
          <w:bCs/>
          <w:b/>
        </w:rPr>
        <w:t xml:space="preserve">proyectados</w:t>
      </w:r>
      <w:r>
        <w:t xml:space="preserve"> </w:t>
      </w:r>
      <w:r>
        <w:t xml:space="preserve">para las fases posteriores.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Una tabla de tres columnas —elemento del mapa, estado, evidencia— resuelve este criterio mejor que un párrafo, porque obliga a señalar dónde está cada cosa.</w:t>
      </w:r>
    </w:p>
    <w:p>
      <w:pPr>
        <w:pStyle w:val="BodyText"/>
      </w:pPr>
      <w:r>
        <w:rPr>
          <w:bCs/>
          <w:b/>
        </w:rPr>
        <w:t xml:space="preserve">Nivel superior.</w:t>
      </w:r>
      <w:r>
        <w:t xml:space="preserve"> </w:t>
      </w:r>
      <w:r>
        <w:t xml:space="preserve">Declarar honestamente lo proyectado evidencia mejor comprensión que afirmar que todo está hecho. En este avance no debería estarlo.</w:t>
      </w:r>
    </w:p>
    <w:bookmarkEnd w:id="39"/>
    <w:bookmarkStart w:id="40" w:name="bibliografía-y-aspectos-formales"/>
    <w:p>
      <w:pPr>
        <w:pStyle w:val="Heading2"/>
      </w:pPr>
      <w:r>
        <w:t xml:space="preserve">4.15 Bibliografía y aspectos formales</w:t>
      </w:r>
    </w:p>
    <w:p>
      <w:pPr>
        <w:pStyle w:val="FirstParagraph"/>
      </w:pPr>
      <w:r>
        <w:rPr>
          <w:bCs/>
          <w:b/>
        </w:rPr>
        <w:t xml:space="preserve">Rúbrica · Criterio 15 — Aspectos formales institucionales (6 pts).</w:t>
      </w:r>
    </w:p>
    <w:p>
      <w:pPr>
        <w:pStyle w:val="BodyText"/>
      </w:pPr>
      <w:r>
        <w:rPr>
          <w:bCs/>
          <w:b/>
        </w:rPr>
        <w:t xml:space="preserve">Qué desarrollar</w:t>
      </w:r>
    </w:p>
    <w:p>
      <w:pPr>
        <w:numPr>
          <w:ilvl w:val="0"/>
          <w:numId w:val="1014"/>
        </w:numPr>
      </w:pPr>
      <w:r>
        <w:t xml:space="preserve">Formato institucional: tamaño carta, tipografía legible, jerarquía clara de títulos, tablas y figuras uniformes.</w:t>
      </w:r>
    </w:p>
    <w:p>
      <w:pPr>
        <w:numPr>
          <w:ilvl w:val="0"/>
          <w:numId w:val="1014"/>
        </w:numPr>
      </w:pPr>
      <w:r>
        <w:t xml:space="preserve">Redacción formal, precisa y sin errores ortográficos ni gramaticales.</w:t>
      </w:r>
    </w:p>
    <w:p>
      <w:pPr>
        <w:numPr>
          <w:ilvl w:val="0"/>
          <w:numId w:val="1014"/>
        </w:numPr>
      </w:pPr>
      <w:r>
        <w:t xml:space="preserve">Bibliografía en APA 7 con al menos cinco fuentes: dos del material docente, dos de documentación técnica oficial y una académica complementaria de los últimos cinco años,</w:t>
      </w:r>
      <w:r>
        <w:t xml:space="preserve"> </w:t>
      </w:r>
      <w:r>
        <w:rPr>
          <w:bCs/>
          <w:b/>
        </w:rPr>
        <w:t xml:space="preserve">citadas en el texto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Lo que baja el puntaje.</w:t>
      </w:r>
      <w:r>
        <w:t xml:space="preserve"> </w:t>
      </w:r>
      <w:r>
        <w:t xml:space="preserve">Citar fuentes que no aparecen en el cuerpo del informe, y enlaces rotos o autores no identificables.</w:t>
      </w:r>
    </w:p>
    <w:bookmarkEnd w:id="40"/>
    <w:bookmarkEnd w:id="41"/>
    <w:bookmarkStart w:id="42" w:name="los-quince-criterios-y-su-puntaje"/>
    <w:p>
      <w:pPr>
        <w:pStyle w:val="Heading1"/>
      </w:pPr>
      <w:r>
        <w:t xml:space="preserve">5. Los quince criterios y su puntaje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500"/>
        <w:gridCol w:w="6060"/>
        <w:gridCol w:w="160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Apartado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 e 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Introducción y contextualización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problemática y objetivos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 herramientas científicas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Reproducibilidad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del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Codificación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Preprocesamiento y transformación del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técnica y verificación del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F1 ejecutado y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F2 ejecutado y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Vinculación del mapa conceptual con el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Aspectos formales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/99</w:t>
            </w:r>
          </w:p>
        </w:tc>
      </w:tr>
    </w:tbl>
    <w:p>
      <w:pPr>
        <w:pStyle w:val="BodyText"/>
      </w:pPr>
      <w:r>
        <w:rPr>
          <w:bCs/>
          <w:b/>
        </w:rPr>
        <w:t xml:space="preserve">Niveles de logro.</w:t>
      </w:r>
      <w:r>
        <w:t xml:space="preserve"> </w:t>
      </w:r>
      <w:r>
        <w:t xml:space="preserve">Cada criterio se evalúa en cinco niveles —Excelente, Bueno, Suficiente, Deficiente e Insuficiente—, con el puntaje proporcional a los puntos del criterio. Los descriptores completos están publicados en el instrumento de Canvas:</w:t>
      </w:r>
      <w:r>
        <w:t xml:space="preserve"> </w:t>
      </w:r>
      <w:r>
        <w:rPr>
          <w:bCs/>
          <w:b/>
        </w:rPr>
        <w:t xml:space="preserve">ábranlo antes de empezar</w:t>
      </w:r>
      <w:r>
        <w:t xml:space="preserve">, no antes de entregar.</w:t>
      </w:r>
    </w:p>
    <w:p>
      <w:pPr>
        <w:pStyle w:val="BodyText"/>
      </w:pPr>
      <w:r>
        <w:rPr>
          <w:bCs/>
          <w:b/>
        </w:rPr>
        <w:t xml:space="preserve">Retroalimentación.</w:t>
      </w:r>
      <w:r>
        <w:t xml:space="preserve"> </w:t>
      </w:r>
      <w:r>
        <w:t xml:space="preserve">El docente comenta por criterio dentro de la rúbrica y esos comentarios se retoman en la sesión sincrónica.</w:t>
      </w:r>
    </w:p>
    <w:bookmarkEnd w:id="42"/>
    <w:bookmarkStart w:id="43" w:name="plan-de-trabajo-sugerido"/>
    <w:p>
      <w:pPr>
        <w:pStyle w:val="Heading1"/>
      </w:pPr>
      <w:r>
        <w:t xml:space="preserve">6. Plan de trabajo sugerido</w:t>
      </w:r>
    </w:p>
    <w:p>
      <w:pPr>
        <w:numPr>
          <w:ilvl w:val="0"/>
          <w:numId w:val="1015"/>
        </w:numPr>
      </w:pPr>
      <w:r>
        <w:t xml:space="preserve">Repartan roles: repositorio y entorno, definición del problema, pipeline de datos, validación y documentación.</w:t>
      </w:r>
    </w:p>
    <w:p>
      <w:pPr>
        <w:numPr>
          <w:ilvl w:val="0"/>
          <w:numId w:val="1015"/>
        </w:numPr>
      </w:pPr>
      <w:r>
        <w:t xml:space="preserve">Creen el repositorio y el ambiente virtual el primer día, y verifiquen que</w:t>
      </w:r>
      <w:r>
        <w:t xml:space="preserve"> </w:t>
      </w:r>
      <w:r>
        <w:rPr>
          <w:bCs/>
          <w:b/>
        </w:rPr>
        <w:t xml:space="preserve">los cuatro integrantes</w:t>
      </w:r>
      <w:r>
        <w:t xml:space="preserve"> </w:t>
      </w:r>
      <w:r>
        <w:t xml:space="preserve">pueden hacer</w:t>
      </w:r>
      <w:r>
        <w:t xml:space="preserve"> </w:t>
      </w:r>
      <w:r>
        <w:rPr>
          <w:iCs/>
          <w:i/>
        </w:rPr>
        <w:t xml:space="preserve">push</w:t>
      </w:r>
      <w:r>
        <w:t xml:space="preserve"> </w:t>
      </w:r>
      <w:r>
        <w:t xml:space="preserve">sin error de permisos.</w:t>
      </w:r>
    </w:p>
    <w:p>
      <w:pPr>
        <w:numPr>
          <w:ilvl w:val="0"/>
          <w:numId w:val="1015"/>
        </w:numPr>
      </w:pPr>
      <w:r>
        <w:t xml:space="preserve">Elijan y verifiquen el conjunto de datos; redacten introducción, problemática y objetivos a partir de él.</w:t>
      </w:r>
    </w:p>
    <w:p>
      <w:pPr>
        <w:numPr>
          <w:ilvl w:val="0"/>
          <w:numId w:val="1015"/>
        </w:numPr>
      </w:pPr>
      <w:r>
        <w:t xml:space="preserve">Armen el notebook F1 y compruébenlo con</w:t>
      </w:r>
      <w:r>
        <w:t xml:space="preserve"> </w:t>
      </w:r>
      <w:r>
        <w:rPr>
          <w:iCs/>
          <w:i/>
        </w:rPr>
        <w:t xml:space="preserve">Restart &amp; Run All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Exploren el conjunto y acuerden la estrategia de limpieza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programar.</w:t>
      </w:r>
    </w:p>
    <w:p>
      <w:pPr>
        <w:numPr>
          <w:ilvl w:val="0"/>
          <w:numId w:val="1015"/>
        </w:numPr>
      </w:pPr>
      <w:r>
        <w:t xml:space="preserve">Implementen el pipeline de la Fase 2 por etapas, con un commit por avance.</w:t>
      </w:r>
    </w:p>
    <w:p>
      <w:pPr>
        <w:numPr>
          <w:ilvl w:val="0"/>
          <w:numId w:val="1015"/>
        </w:numPr>
      </w:pPr>
      <w:r>
        <w:t xml:space="preserve">Validen el conjunto final y dejen evidencia de las pruebas.</w:t>
      </w:r>
    </w:p>
    <w:p>
      <w:pPr>
        <w:numPr>
          <w:ilvl w:val="0"/>
          <w:numId w:val="1015"/>
        </w:numPr>
      </w:pPr>
      <w:r>
        <w:t xml:space="preserve">Redacten el informe en paralelo, citando lo que muestran los notebooks.</w:t>
      </w:r>
    </w:p>
    <w:p>
      <w:pPr>
        <w:numPr>
          <w:ilvl w:val="0"/>
          <w:numId w:val="1015"/>
        </w:numPr>
      </w:pPr>
      <w:r>
        <w:t xml:space="preserve">Cierre:</w:t>
      </w:r>
      <w:r>
        <w:t xml:space="preserve"> </w:t>
      </w:r>
      <w:r>
        <w:rPr>
          <w:iCs/>
          <w:i/>
        </w:rPr>
        <w:t xml:space="preserve">Restart &amp; Run All</w:t>
      </w:r>
      <w:r>
        <w:t xml:space="preserve"> </w:t>
      </w:r>
      <w:r>
        <w:t xml:space="preserve">en ambos notebooks, actualizar el índice, revisar APA y exportar a PDF.</w:t>
      </w:r>
    </w:p>
    <w:p>
      <w:pPr>
        <w:pStyle w:val="FirstParagraph"/>
      </w:pPr>
      <w:r>
        <w:rPr>
          <w:bCs/>
          <w:b/>
        </w:rPr>
        <w:t xml:space="preserve">Sugerencia.</w:t>
      </w:r>
      <w:r>
        <w:t xml:space="preserve"> </w:t>
      </w:r>
      <w:r>
        <w:t xml:space="preserve">Empiecen por el repositorio y el entorno, aunque parezca lo menos urgente. Todo lo demás se construye encima, y descubrir en el día seis que un integrante no puede subir cambios cuesta la entrega.</w:t>
      </w:r>
    </w:p>
    <w:bookmarkEnd w:id="43"/>
    <w:bookmarkStart w:id="44" w:name="X7b113cb6daf76d9b95af166ada7aad89daad361"/>
    <w:p>
      <w:pPr>
        <w:pStyle w:val="Heading1"/>
      </w:pPr>
      <w:r>
        <w:t xml:space="preserve">7. Verificación previa a la entrega, por ámbito</w:t>
      </w:r>
    </w:p>
    <w:p>
      <w:pPr>
        <w:pStyle w:val="FirstParagraph"/>
      </w:pPr>
      <w:r>
        <w:rPr>
          <w:bCs/>
          <w:b/>
        </w:rPr>
        <w:t xml:space="preserve">Notebooks</w:t>
      </w:r>
    </w:p>
    <w:p>
      <w:pPr>
        <w:numPr>
          <w:ilvl w:val="0"/>
          <w:numId w:val="1016"/>
        </w:numPr>
      </w:pPr>
      <w:r>
        <w:t xml:space="preserve">Ambos corren completos tras</w:t>
      </w:r>
      <w:r>
        <w:t xml:space="preserve"> </w:t>
      </w:r>
      <w:r>
        <w:rPr>
          <w:iCs/>
          <w:i/>
        </w:rPr>
        <w:t xml:space="preserve">Restart Kernel and Run All Cells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El notebook F1 no invade el alcance de la Fase 2: no limpia ni transforma.</w:t>
      </w:r>
    </w:p>
    <w:p>
      <w:pPr>
        <w:numPr>
          <w:ilvl w:val="0"/>
          <w:numId w:val="1016"/>
        </w:numPr>
      </w:pPr>
      <w:r>
        <w:t xml:space="preserve">Cada bloque de código está precedido por una celda narrativa que explica su lógica.</w:t>
      </w:r>
    </w:p>
    <w:p>
      <w:pPr>
        <w:numPr>
          <w:ilvl w:val="0"/>
          <w:numId w:val="1016"/>
        </w:numPr>
      </w:pPr>
      <w:r>
        <w:t xml:space="preserve">Todas las rutas son relativas y la semilla está declarada.</w:t>
      </w:r>
    </w:p>
    <w:p>
      <w:pPr>
        <w:pStyle w:val="FirstParagraph"/>
      </w:pPr>
      <w:r>
        <w:rPr>
          <w:bCs/>
          <w:b/>
        </w:rPr>
        <w:t xml:space="preserve">Datos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data/raw/</w:t>
      </w:r>
      <w:r>
        <w:t xml:space="preserve"> </w:t>
      </w:r>
      <w:r>
        <w:t xml:space="preserve">conserva el archivo original sin modificar.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data/processed/</w:t>
      </w:r>
      <w:r>
        <w:t xml:space="preserve"> </w:t>
      </w:r>
      <w:r>
        <w:t xml:space="preserve">contiene el resultado del pipeline.</w:t>
      </w:r>
    </w:p>
    <w:p>
      <w:pPr>
        <w:pStyle w:val="FirstParagraph"/>
      </w:pPr>
      <w:r>
        <w:rPr>
          <w:bCs/>
          <w:b/>
        </w:rPr>
        <w:t xml:space="preserve">Repositorio</w:t>
      </w:r>
    </w:p>
    <w:p>
      <w:pPr>
        <w:numPr>
          <w:ilvl w:val="0"/>
          <w:numId w:val="1018"/>
        </w:numPr>
      </w:pPr>
      <w:r>
        <w:t xml:space="preserve">Carpetas F1 y F2, README técnico actualizado y archivo de dependencias.</w:t>
      </w:r>
    </w:p>
    <w:p>
      <w:pPr>
        <w:numPr>
          <w:ilvl w:val="0"/>
          <w:numId w:val="1018"/>
        </w:numPr>
      </w:pPr>
      <w:r>
        <w:t xml:space="preserve">Commits de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integrantes, con mensajes que siguen la convención.</w:t>
      </w:r>
    </w:p>
    <w:p>
      <w:pPr>
        <w:pStyle w:val="FirstParagraph"/>
      </w:pPr>
      <w:r>
        <w:rPr>
          <w:bCs/>
          <w:b/>
        </w:rPr>
        <w:t xml:space="preserve">Informe</w:t>
      </w:r>
    </w:p>
    <w:p>
      <w:pPr>
        <w:numPr>
          <w:ilvl w:val="0"/>
          <w:numId w:val="1019"/>
        </w:numPr>
      </w:pPr>
      <w:r>
        <w:t xml:space="preserve">Índice actualizado y apartados completos según esta guía.</w:t>
      </w:r>
    </w:p>
    <w:p>
      <w:pPr>
        <w:numPr>
          <w:ilvl w:val="0"/>
          <w:numId w:val="1019"/>
        </w:numPr>
      </w:pPr>
      <w:r>
        <w:t xml:space="preserve">Cada decisión de preprocesamiento justificada con sus cifras.</w:t>
      </w:r>
    </w:p>
    <w:p>
      <w:pPr>
        <w:numPr>
          <w:ilvl w:val="0"/>
          <w:numId w:val="1019"/>
        </w:numPr>
      </w:pPr>
      <w:r>
        <w:t xml:space="preserve">Tabla de vinculación del mapa, distinguiendo lo implementado de lo proyectado.</w:t>
      </w:r>
    </w:p>
    <w:p>
      <w:pPr>
        <w:numPr>
          <w:ilvl w:val="0"/>
          <w:numId w:val="1019"/>
        </w:numPr>
      </w:pPr>
      <w:r>
        <w:t xml:space="preserve">Bibliografía en APA 7 con las fuentes citadas en el texto.</w:t>
      </w:r>
    </w:p>
    <w:p>
      <w:pPr>
        <w:numPr>
          <w:ilvl w:val="0"/>
          <w:numId w:val="1019"/>
        </w:numPr>
      </w:pPr>
      <w:r>
        <w:t xml:space="preserve">Exportado a PDF y nombrado según la convención del curso; lo sube un solo integrante.</w:t>
      </w:r>
    </w:p>
    <w:bookmarkEnd w:id="44"/>
    <w:bookmarkStart w:id="45" w:name="referencias-sugeridas"/>
    <w:p>
      <w:pPr>
        <w:pStyle w:val="Heading1"/>
      </w:pPr>
      <w:r>
        <w:t xml:space="preserve">8. Referencias sugeridas</w:t>
      </w:r>
    </w:p>
    <w:p>
      <w:pPr>
        <w:pStyle w:val="FirstParagraph"/>
      </w:pPr>
      <w:r>
        <w:t xml:space="preserve">Verifiquen los datos de cada fuente antes de incorporarla al informe.</w:t>
      </w:r>
    </w:p>
    <w:p>
      <w:pPr>
        <w:pStyle w:val="BodyText"/>
      </w:pPr>
      <w:r>
        <w:t xml:space="preserve">Chacon, S., &amp; Straub, B. (2014).</w:t>
      </w:r>
      <w:r>
        <w:t xml:space="preserve"> </w:t>
      </w:r>
      <w:r>
        <w:rPr>
          <w:iCs/>
          <w:i/>
        </w:rPr>
        <w:t xml:space="preserve">Pro Git</w:t>
      </w:r>
      <w:r>
        <w:t xml:space="preserve"> </w:t>
      </w:r>
      <w:r>
        <w:t xml:space="preserve">(2.ª ed.). Apress.</w:t>
      </w:r>
    </w:p>
    <w:p>
      <w:pPr>
        <w:pStyle w:val="BodyText"/>
      </w:pPr>
      <w:r>
        <w:t xml:space="preserve">McKinney, W. (2022).</w:t>
      </w:r>
      <w:r>
        <w:t xml:space="preserve"> </w:t>
      </w:r>
      <w:r>
        <w:rPr>
          <w:iCs/>
          <w:i/>
        </w:rPr>
        <w:t xml:space="preserve">Python for data analysis</w:t>
      </w:r>
      <w:r>
        <w:t xml:space="preserve"> </w:t>
      </w:r>
      <w:r>
        <w:t xml:space="preserve">(3.ª ed.). O’Reilly Media.</w:t>
      </w:r>
    </w:p>
    <w:p>
      <w:pPr>
        <w:pStyle w:val="BodyText"/>
      </w:pPr>
      <w:r>
        <w:t xml:space="preserve">Peng, R. D. (2011). Reproducible research in computational science.</w:t>
      </w:r>
      <w:r>
        <w:t xml:space="preserve"> </w:t>
      </w:r>
      <w:r>
        <w:rPr>
          <w:iCs/>
          <w:i/>
        </w:rPr>
        <w:t xml:space="preserve">Science, 334</w:t>
      </w:r>
      <w:r>
        <w:t xml:space="preserve">(6060), 1226–1227.</w:t>
      </w:r>
    </w:p>
    <w:p>
      <w:pPr>
        <w:pStyle w:val="BodyText"/>
      </w:pPr>
      <w:r>
        <w:t xml:space="preserve">Sandve, G. K., Nekrutenko, A., Taylor, J., &amp; Hovig, E. (2013). Ten simple rules for reproducible computational research.</w:t>
      </w:r>
      <w:r>
        <w:t xml:space="preserve"> </w:t>
      </w:r>
      <w:r>
        <w:rPr>
          <w:iCs/>
          <w:i/>
        </w:rPr>
        <w:t xml:space="preserve">PLOS Computational Biology, 9</w:t>
      </w:r>
      <w:r>
        <w:t xml:space="preserve">(10), e1003285.</w:t>
      </w:r>
    </w:p>
    <w:p>
      <w:pPr>
        <w:pStyle w:val="BodyText"/>
      </w:pPr>
      <w:r>
        <w:t xml:space="preserve">Wilson, G., Bryan, J., Cranston, K., Kitzes, J., Nederbragt, L., &amp; Teal, T. K. (2017). Good enough practices in scientific computing.</w:t>
      </w:r>
      <w:r>
        <w:t xml:space="preserve"> </w:t>
      </w:r>
      <w:r>
        <w:rPr>
          <w:iCs/>
          <w:i/>
        </w:rPr>
        <w:t xml:space="preserve">PLOS Computational Biology, 13</w:t>
      </w:r>
      <w:r>
        <w:t xml:space="preserve">(6), e1005510.</w:t>
      </w:r>
    </w:p>
    <w:bookmarkEnd w:id="45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/>
        <w:bCs/>
        <w:color w:val="1F3A5F"/>
        <w:sz w:val="16"/>
        <w:szCs w:val="16"/>
      </w:rPr>
      <w:t xml:space="preserve">Magíster en Ciencia de Datos e Inteligencia Artificial</w:t>
    </w:r>
  </w:p>
  <w:p>
    <w:pPr>
      <w:spacing w:before="10"/>
      <w:jc w:val="center"/>
    </w:pPr>
    <w:r>
      <w:rPr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45770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15:restartNumberingAfterBreak="0" w:abstractNumId="4">
    <w:multiLevelType w:val="hybridMultilevel"/>
    <w:lvl w15:tentative="1" w:ilvl="0">
      <w:start w:val="1"/>
      <w:numFmt w:val="bullet"/>
      <w:lvlText w:val="☐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AA182C" w:space="4" w:sz="6" w:val="single"/>
      </w:pBdr>
      <w:spacing w:after="8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styleId="Heading2" w:type="paragraph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AA182C"/>
      <w:sz w:val="22"/>
      <w:szCs w:val="22"/>
    </w:rPr>
  </w:style>
  <w:style w:styleId="Table" w:type="table">
    <w:name w:val="Table"/>
    <w:tblPr>
      <w:tblBorders>
        <w:top w:color="7F7F7F" w:sz="4" w:val="single"/>
        <w:left w:color="7F7F7F" w:sz="4" w:val="single"/>
        <w:bottom w:color="7F7F7F" w:sz="4" w:val="single"/>
        <w:right w:color="7F7F7F" w:sz="4" w:val="single"/>
        <w:insideH w:color="7F7F7F" w:sz="4" w:val="single"/>
        <w:insideV w:color="7F7F7F" w:sz="4" w:val="single"/>
      </w:tblBorders>
      <w:tblCellMar>
        <w:top w:type="dxa" w:w="80"/>
        <w:left w:type="dxa" w:w="110"/>
        <w:bottom w:type="dxa" w:w="80"/>
        <w:right w:type="dxa" w:w="110"/>
      </w:tblCellMar>
    </w:tblPr>
  </w:style>
  <w:style w:default="1" w:styleId="TableNormal" w:type="table">
    <w:name w:val="Normal Table"/>
    <w:tblPr/>
  </w:style>
  <w:style w:styleId="VerbatimChar" w:type="character">
    <w:name w:val="Verbatim Char"/>
    <w:rPr>
      <w:rFonts w:ascii="Consolas" w:hAnsi="Consolas"/>
      <w:sz w:val="18"/>
    </w:rPr>
  </w:style>
  <w:style w:styleId="Compact" w:type="paragraph">
    <w:name w:val="Compact"/>
    <w:pPr>
      <w:spacing w:after="40" w:before="40" w:line="240" w:lineRule="auto"/>
      <w:contextualSpacing/>
    </w:pPr>
    <w:rPr>
      <w:rFonts w:ascii="Arial" w:hAnsi="Arial"/>
      <w:color w:val="000000"/>
      <w:sz w:val="20"/>
    </w:rPr>
  </w:style>
  <w:style w:styleId="BodyText" w:type="paragraph">
    <w:name w:val="Body Text"/>
    <w:pPr>
      <w:spacing w:after="60" w:before="60"/>
    </w:pPr>
    <w:rPr>
      <w:rFonts w:ascii="Arial" w:hAnsi="Arial"/>
      <w:color w:val="000000"/>
      <w:sz w:val="22"/>
    </w:rPr>
  </w:style>
  <w:style w:styleId="SourceCode" w:type="paragraph">
    <w:name w:val="Source Code"/>
    <w:basedOn w:val="Normal"/>
    <w:pPr>
      <w:pBdr>
        <w:top w:color="BFBFBF" w:sz="4" w:val="single"/>
        <w:left w:color="BFBFBF" w:sz="4" w:val="single"/>
        <w:bottom w:color="BFBFBF" w:sz="4" w:val="single"/>
        <w:right w:color="BFBFBF" w:sz="4" w:val="single"/>
      </w:pBdr>
      <w:shd w:fill="F7F7F7" w:val="clear"/>
      <w:spacing w:after="60" w:before="60" w:line="240" w:lineRule="auto"/>
      <w:ind w:left="170" w:right="170"/>
      <w:contextualSpacing/>
    </w:pPr>
    <w:rPr>
      <w:rFonts w:ascii="Consolas" w:cs="Consolas" w:hAnsi="Consolas"/>
      <w:color w:val="1F3A5F"/>
      <w:sz w:val="17"/>
      <w:szCs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40faec87f14f9de79c7b939a33fb86f4bd7e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2026-08-31T02:41:31Z</dcterms:created>
  <dcterms:modified xsi:type="dcterms:W3CDTF">2026-08-31T02:41:31Z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