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2B4C7E"/>
          <w:sz w:val="44"/>
        </w:rPr>
        <w:t>OpenCode Autonomous Engineering System Blueprint</w:t>
      </w:r>
    </w:p>
    <w:p>
      <w:pPr>
        <w:spacing w:after="360"/>
      </w:pPr>
      <w:r>
        <w:rPr>
          <w:i/>
          <w:color w:val="646464"/>
          <w:sz w:val="24"/>
        </w:rPr>
        <w:t>Architectural Blueprint, Decision Rationale, Multi-Model Diversity, and Operational Guardrail Protocols</w:t>
      </w:r>
    </w:p>
    <w:p>
      <w:pPr>
        <w:keepNext/>
        <w:spacing w:before="280" w:after="120"/>
      </w:pPr>
      <w:r>
        <w:rPr>
          <w:b/>
          <w:color w:val="2B4C7E"/>
          <w:sz w:val="30"/>
        </w:rPr>
        <w:t>1. Introduction &amp; Core Objective</w:t>
      </w:r>
    </w:p>
    <w:p>
      <w:pPr>
        <w:spacing w:before="0" w:after="120" w:line="276" w:lineRule="auto"/>
      </w:pPr>
      <w:r>
        <w:rPr>
          <w:i w:val="0"/>
          <w:sz w:val="20"/>
        </w:rPr>
        <w:t>This document outlines the architectural blueprint, design philosophy, and operational guardrails of an enterprise-grade Multi-Agent Software Development System built inside OpenCode. The objective of this architecture is to transform AI from a basic auto-complete snippet generator into a structured, highly disciplined, and autonomous engineering team capable of planning, executing, auditing, and continuously deploying production code directly to AWS.</w:t>
      </w:r>
    </w:p>
    <w:tbl>
      <w:tblPr>
        <w:tblW w:type="auto" w:w="0"/>
        <w:jc w:val="center"/>
        <w:tblLook w:firstColumn="1" w:firstRow="1" w:lastColumn="0" w:lastRow="0" w:noHBand="0" w:noVBand="1" w:val="04A0"/>
      </w:tblPr>
      <w:tblGrid>
        <w:gridCol w:w="9360"/>
      </w:tblGrid>
      <w:tr>
        <w:tc>
          <w:tcPr>
            <w:tcW w:type="dxa" w:w="9360"/>
            <w:shd w:fill="F0F4F8"/>
            <w:tcBorders>
              <w:left w:val="single" w:sz="24" w:space="0" w:color="2B4C7E"/>
              <w:top w:val="none"/>
              <w:right w:val="none"/>
              <w:bottom w:val="none"/>
            </w:tcBorders>
          </w:tcPr>
          <w:p>
            <w:pPr>
              <w:spacing w:before="120" w:after="120"/>
              <w:ind w:left="144" w:right="144"/>
            </w:pPr>
            <w:r>
              <w:rPr>
                <w:b/>
                <w:color w:val="2B4C7E"/>
                <w:sz w:val="20"/>
              </w:rPr>
              <w:t xml:space="preserve">CORE PHILOSOPHY: </w:t>
            </w:r>
            <w:r>
              <w:rPr>
                <w:i/>
                <w:sz w:val="20"/>
              </w:rPr>
              <w:t>The core goal is not to eliminate human oversight, but to elevate human engineers from manual coders to strategic orchestrators—spending 2 minutes reviewing pre-tested, fully compliant Pull Requests instead of 2 hours writing baseline code.</w:t>
            </w:r>
          </w:p>
        </w:tc>
      </w:tr>
    </w:tbl>
    <w:p>
      <w:pPr>
        <w:keepNext/>
        <w:spacing w:before="280" w:after="120"/>
      </w:pPr>
      <w:r>
        <w:rPr>
          <w:b/>
          <w:color w:val="2B4C7E"/>
          <w:sz w:val="30"/>
        </w:rPr>
        <w:t>2. Architectural Foundations &amp; Delivery Paradigms</w:t>
      </w:r>
    </w:p>
    <w:p>
      <w:pPr>
        <w:pStyle w:val="ListBullet"/>
        <w:spacing w:before="0" w:after="60" w:line="276" w:lineRule="auto"/>
      </w:pPr>
      <w:r>
        <w:rPr>
          <w:b/>
          <w:sz w:val="20"/>
        </w:rPr>
        <w:t xml:space="preserve">2.1 Walking Skeleton First (Story #1): </w:t>
      </w:r>
      <w:r>
        <w:rPr>
          <w:sz w:val="20"/>
        </w:rPr>
        <w:t>Story #1 of any initiative is explicitly designated to build a minimal end-to-end slice: compiling code, running a passing test, building via GitHub Actions, and deploying a lightweight health-check endpoint directly to AWS production.</w:t>
      </w:r>
    </w:p>
    <w:p>
      <w:pPr>
        <w:pStyle w:val="ListBullet"/>
        <w:spacing w:before="0" w:after="60" w:line="276" w:lineRule="auto"/>
      </w:pPr>
      <w:r>
        <w:rPr>
          <w:b/>
          <w:sz w:val="20"/>
        </w:rPr>
        <w:t xml:space="preserve">2.2 Trunk-Based Development over GitFlow: </w:t>
      </w:r>
      <w:r>
        <w:rPr>
          <w:sz w:val="20"/>
        </w:rPr>
        <w:t>All agent work is conducted on short-lived topic branches that merge directly back into main via small, frequent Pull Requests. Long-lived feature branches are strictly prohibited.</w:t>
      </w:r>
    </w:p>
    <w:p>
      <w:pPr>
        <w:pStyle w:val="ListBullet"/>
        <w:spacing w:before="0" w:after="60" w:line="276" w:lineRule="auto"/>
      </w:pPr>
      <w:r>
        <w:rPr>
          <w:b/>
          <w:sz w:val="20"/>
        </w:rPr>
        <w:t xml:space="preserve">2.3 Continuous Deployment (Deploy Every Passing Commit): </w:t>
      </w:r>
      <w:r>
        <w:rPr>
          <w:sz w:val="20"/>
        </w:rPr>
        <w:t>Every commit merged to main automatically triggers the full testing suite. Passing commits immediately execute zero-downtime deployment to AWS.</w:t>
      </w:r>
    </w:p>
    <w:p>
      <w:pPr>
        <w:pStyle w:val="ListBullet"/>
        <w:spacing w:before="0" w:after="60" w:line="276" w:lineRule="auto"/>
      </w:pPr>
      <w:r>
        <w:rPr>
          <w:b/>
          <w:sz w:val="20"/>
        </w:rPr>
        <w:t xml:space="preserve">2.4 Decoupling Deployment from Release (Feature Flags): </w:t>
      </w:r>
      <w:r>
        <w:rPr>
          <w:sz w:val="20"/>
        </w:rPr>
        <w:t>Incomplete user stories or dark launches are wrapped in Feature Flags (defaulting to OFF in production), granting the Product Owner complete control over activation.</w:t>
      </w:r>
    </w:p>
    <w:p>
      <w:pPr>
        <w:keepNext/>
        <w:spacing w:before="280" w:after="120"/>
      </w:pPr>
      <w:r>
        <w:rPr>
          <w:b/>
          <w:color w:val="2B4C7E"/>
          <w:sz w:val="30"/>
        </w:rPr>
        <w:t>3. Multi-Agent Architecture &amp; Multi-Model Allocation Strategy</w:t>
      </w:r>
    </w:p>
    <w:p>
      <w:pPr>
        <w:keepNext/>
        <w:spacing w:before="200" w:after="80"/>
      </w:pPr>
      <w:r>
        <w:rPr>
          <w:b/>
          <w:color w:val="3C5A87"/>
          <w:sz w:val="24"/>
        </w:rPr>
        <w:t>3.1 Defense-in-Depth Model Allocation Strategy</w:t>
      </w:r>
    </w:p>
    <w:p>
      <w:pPr>
        <w:spacing w:before="0" w:after="120" w:line="276" w:lineRule="auto"/>
      </w:pPr>
      <w:r>
        <w:rPr>
          <w:i w:val="0"/>
          <w:sz w:val="20"/>
        </w:rPr>
        <w:t>To eliminate systematic blind spots, authoring agents (who write code/IaC) and auditing agents (who review and check security) run on distinct model families or reasoning architectures. This prevents auditors from inheriting the exact same training biases, logic gaps, or hallucinations as the authors.</w:t>
      </w:r>
    </w:p>
    <w:p>
      <w:pPr>
        <w:keepNext/>
        <w:spacing w:before="200" w:after="80"/>
      </w:pPr>
      <w:r>
        <w:rPr>
          <w:b/>
          <w:color w:val="3C5A87"/>
          <w:sz w:val="24"/>
        </w:rPr>
        <w:t>3.2 Agent Model Matrix</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160"/>
            <w:shd w:fill="2B4C7E"/>
          </w:tcPr>
          <w:p>
            <w:pPr>
              <w:spacing w:before="80" w:after="80"/>
            </w:pPr>
            <w:r>
              <w:rPr>
                <w:b/>
                <w:color w:val="FFFFFF"/>
                <w:sz w:val="19"/>
              </w:rPr>
              <w:t>Agent Name</w:t>
            </w:r>
          </w:p>
        </w:tc>
        <w:tc>
          <w:tcPr>
            <w:tcW w:type="dxa" w:w="3168"/>
            <w:shd w:fill="2B4C7E"/>
          </w:tcPr>
          <w:p>
            <w:pPr>
              <w:spacing w:before="80" w:after="80"/>
            </w:pPr>
            <w:r>
              <w:rPr>
                <w:b/>
                <w:color w:val="FFFFFF"/>
                <w:sz w:val="19"/>
              </w:rPr>
              <w:t>Primary Role</w:t>
            </w:r>
          </w:p>
        </w:tc>
        <w:tc>
          <w:tcPr>
            <w:tcW w:type="dxa" w:w="1872"/>
            <w:shd w:fill="2B4C7E"/>
          </w:tcPr>
          <w:p>
            <w:pPr>
              <w:spacing w:before="80" w:after="80"/>
            </w:pPr>
            <w:r>
              <w:rPr>
                <w:b/>
                <w:color w:val="FFFFFF"/>
                <w:sz w:val="19"/>
              </w:rPr>
              <w:t>OpenCode Zen Model</w:t>
            </w:r>
          </w:p>
        </w:tc>
        <w:tc>
          <w:tcPr>
            <w:tcW w:type="dxa" w:w="1584"/>
            <w:shd w:fill="2B4C7E"/>
          </w:tcPr>
          <w:p>
            <w:pPr>
              <w:spacing w:before="80" w:after="80"/>
            </w:pPr>
            <w:r>
              <w:rPr>
                <w:b/>
                <w:color w:val="FFFFFF"/>
                <w:sz w:val="19"/>
              </w:rPr>
              <w:t>Free / Open Model</w:t>
            </w:r>
          </w:p>
        </w:tc>
        <w:tc>
          <w:tcPr>
            <w:tcW w:type="dxa" w:w="576"/>
            <w:shd w:fill="2B4C7E"/>
          </w:tcPr>
          <w:p>
            <w:pPr>
              <w:spacing w:before="80" w:after="80"/>
            </w:pPr>
            <w:r>
              <w:rPr>
                <w:b/>
                <w:color w:val="FFFFFF"/>
                <w:sz w:val="19"/>
              </w:rPr>
              <w:t>Temp</w:t>
            </w:r>
          </w:p>
        </w:tc>
      </w:tr>
      <w:tr>
        <w:trPr>
          <w:cantSplit/>
        </w:trPr>
        <w:tc>
          <w:tcPr>
            <w:tcW w:type="dxa" w:w="2160"/>
            <w:shd w:fill="F2F5F8"/>
          </w:tcPr>
          <w:p>
            <w:pPr>
              <w:spacing w:before="60" w:after="60"/>
            </w:pPr>
            <w:r>
              <w:rPr>
                <w:sz w:val="18"/>
              </w:rPr>
              <w:t>@product-owner</w:t>
            </w:r>
          </w:p>
        </w:tc>
        <w:tc>
          <w:tcPr>
            <w:tcW w:type="dxa" w:w="3168"/>
            <w:shd w:fill="F2F5F8"/>
          </w:tcPr>
          <w:p>
            <w:pPr>
              <w:spacing w:before="60" w:after="60"/>
            </w:pPr>
            <w:r>
              <w:rPr>
                <w:sz w:val="18"/>
              </w:rPr>
              <w:t>Requirement Discovery &amp; BDD Criteria</w:t>
            </w:r>
          </w:p>
        </w:tc>
        <w:tc>
          <w:tcPr>
            <w:tcW w:type="dxa" w:w="1872"/>
            <w:shd w:fill="F2F5F8"/>
          </w:tcPr>
          <w:p>
            <w:pPr>
              <w:spacing w:before="60" w:after="60"/>
            </w:pPr>
            <w:r>
              <w:rPr>
                <w:sz w:val="18"/>
              </w:rPr>
              <w:t>opencode/claude-3-5-sonnet</w:t>
            </w:r>
          </w:p>
        </w:tc>
        <w:tc>
          <w:tcPr>
            <w:tcW w:type="dxa" w:w="1584"/>
            <w:shd w:fill="F2F5F8"/>
          </w:tcPr>
          <w:p>
            <w:pPr>
              <w:spacing w:before="60" w:after="60"/>
            </w:pPr>
            <w:r>
              <w:rPr>
                <w:sz w:val="18"/>
              </w:rPr>
              <w:t>qwen3:30b</w:t>
            </w:r>
          </w:p>
        </w:tc>
        <w:tc>
          <w:tcPr>
            <w:tcW w:type="dxa" w:w="576"/>
            <w:shd w:fill="F2F5F8"/>
          </w:tcPr>
          <w:p>
            <w:pPr>
              <w:spacing w:before="60" w:after="60"/>
            </w:pPr>
            <w:r>
              <w:rPr>
                <w:sz w:val="18"/>
              </w:rPr>
              <w:t>0.3</w:t>
            </w:r>
          </w:p>
        </w:tc>
      </w:tr>
      <w:tr>
        <w:trPr>
          <w:cantSplit/>
        </w:trPr>
        <w:tc>
          <w:tcPr>
            <w:tcW w:type="dxa" w:w="2160"/>
            <w:shd w:fill="FFFFFF"/>
          </w:tcPr>
          <w:p>
            <w:pPr>
              <w:spacing w:before="60" w:after="60"/>
            </w:pPr>
            <w:r>
              <w:rPr>
                <w:sz w:val="18"/>
              </w:rPr>
              <w:t>@tech-lead</w:t>
            </w:r>
          </w:p>
        </w:tc>
        <w:tc>
          <w:tcPr>
            <w:tcW w:type="dxa" w:w="3168"/>
            <w:shd w:fill="FFFFFF"/>
          </w:tcPr>
          <w:p>
            <w:pPr>
              <w:spacing w:before="60" w:after="60"/>
            </w:pPr>
            <w:r>
              <w:rPr>
                <w:sz w:val="18"/>
              </w:rPr>
              <w:t>Planner &amp; Sub-Agent Dispatcher</w:t>
            </w:r>
          </w:p>
        </w:tc>
        <w:tc>
          <w:tcPr>
            <w:tcW w:type="dxa" w:w="1872"/>
            <w:shd w:fill="FFFFFF"/>
          </w:tcPr>
          <w:p>
            <w:pPr>
              <w:spacing w:before="60" w:after="60"/>
            </w:pPr>
            <w:r>
              <w:rPr>
                <w:sz w:val="18"/>
              </w:rPr>
              <w:t>opencode/claude-3-7-sonnet</w:t>
            </w:r>
          </w:p>
        </w:tc>
        <w:tc>
          <w:tcPr>
            <w:tcW w:type="dxa" w:w="1584"/>
            <w:shd w:fill="FFFFFF"/>
          </w:tcPr>
          <w:p>
            <w:pPr>
              <w:spacing w:before="60" w:after="60"/>
            </w:pPr>
            <w:r>
              <w:rPr>
                <w:sz w:val="18"/>
              </w:rPr>
              <w:t>deepseek-r1</w:t>
            </w:r>
          </w:p>
        </w:tc>
        <w:tc>
          <w:tcPr>
            <w:tcW w:type="dxa" w:w="576"/>
            <w:shd w:fill="FFFFFF"/>
          </w:tcPr>
          <w:p>
            <w:pPr>
              <w:spacing w:before="60" w:after="60"/>
            </w:pPr>
            <w:r>
              <w:rPr>
                <w:sz w:val="18"/>
              </w:rPr>
              <w:t>0.2</w:t>
            </w:r>
          </w:p>
        </w:tc>
      </w:tr>
      <w:tr>
        <w:trPr>
          <w:cantSplit/>
        </w:trPr>
        <w:tc>
          <w:tcPr>
            <w:tcW w:type="dxa" w:w="2160"/>
            <w:shd w:fill="F2F5F8"/>
          </w:tcPr>
          <w:p>
            <w:pPr>
              <w:spacing w:before="60" w:after="60"/>
            </w:pPr>
            <w:r>
              <w:rPr>
                <w:sz w:val="18"/>
              </w:rPr>
              <w:t>@devops-engineer</w:t>
            </w:r>
          </w:p>
        </w:tc>
        <w:tc>
          <w:tcPr>
            <w:tcW w:type="dxa" w:w="3168"/>
            <w:shd w:fill="F2F5F8"/>
          </w:tcPr>
          <w:p>
            <w:pPr>
              <w:spacing w:before="60" w:after="60"/>
            </w:pPr>
            <w:r>
              <w:rPr>
                <w:sz w:val="18"/>
              </w:rPr>
              <w:t>Terraform, CDK &amp; GitHub Actions</w:t>
            </w:r>
          </w:p>
        </w:tc>
        <w:tc>
          <w:tcPr>
            <w:tcW w:type="dxa" w:w="1872"/>
            <w:shd w:fill="F2F5F8"/>
          </w:tcPr>
          <w:p>
            <w:pPr>
              <w:spacing w:before="60" w:after="60"/>
            </w:pPr>
            <w:r>
              <w:rPr>
                <w:sz w:val="18"/>
              </w:rPr>
              <w:t>opencode/gpt-4o</w:t>
            </w:r>
          </w:p>
        </w:tc>
        <w:tc>
          <w:tcPr>
            <w:tcW w:type="dxa" w:w="1584"/>
            <w:shd w:fill="F2F5F8"/>
          </w:tcPr>
          <w:p>
            <w:pPr>
              <w:spacing w:before="60" w:after="60"/>
            </w:pPr>
            <w:r>
              <w:rPr>
                <w:sz w:val="18"/>
              </w:rPr>
              <w:t>llama3.3-nemotron-super</w:t>
            </w:r>
          </w:p>
        </w:tc>
        <w:tc>
          <w:tcPr>
            <w:tcW w:type="dxa" w:w="576"/>
            <w:shd w:fill="F2F5F8"/>
          </w:tcPr>
          <w:p>
            <w:pPr>
              <w:spacing w:before="60" w:after="60"/>
            </w:pPr>
            <w:r>
              <w:rPr>
                <w:sz w:val="18"/>
              </w:rPr>
              <w:t>0.1</w:t>
            </w:r>
          </w:p>
        </w:tc>
      </w:tr>
      <w:tr>
        <w:trPr>
          <w:cantSplit/>
        </w:trPr>
        <w:tc>
          <w:tcPr>
            <w:tcW w:type="dxa" w:w="2160"/>
            <w:shd w:fill="FFFFFF"/>
          </w:tcPr>
          <w:p>
            <w:pPr>
              <w:spacing w:before="60" w:after="60"/>
            </w:pPr>
            <w:r>
              <w:rPr>
                <w:sz w:val="18"/>
              </w:rPr>
              <w:t>@architecture-guardian</w:t>
            </w:r>
          </w:p>
        </w:tc>
        <w:tc>
          <w:tcPr>
            <w:tcW w:type="dxa" w:w="3168"/>
            <w:shd w:fill="FFFFFF"/>
          </w:tcPr>
          <w:p>
            <w:pPr>
              <w:spacing w:before="60" w:after="60"/>
            </w:pPr>
            <w:r>
              <w:rPr>
                <w:sz w:val="18"/>
              </w:rPr>
              <w:t>C4 Models, Domain Boundaries &amp; ADRs</w:t>
            </w:r>
          </w:p>
        </w:tc>
        <w:tc>
          <w:tcPr>
            <w:tcW w:type="dxa" w:w="1872"/>
            <w:shd w:fill="FFFFFF"/>
          </w:tcPr>
          <w:p>
            <w:pPr>
              <w:spacing w:before="60" w:after="60"/>
            </w:pPr>
            <w:r>
              <w:rPr>
                <w:sz w:val="18"/>
              </w:rPr>
              <w:t>opencode/claude-3-5-sonnet</w:t>
            </w:r>
          </w:p>
        </w:tc>
        <w:tc>
          <w:tcPr>
            <w:tcW w:type="dxa" w:w="1584"/>
            <w:shd w:fill="FFFFFF"/>
          </w:tcPr>
          <w:p>
            <w:pPr>
              <w:spacing w:before="60" w:after="60"/>
            </w:pPr>
            <w:r>
              <w:rPr>
                <w:sz w:val="18"/>
              </w:rPr>
              <w:t>glm-5.1</w:t>
            </w:r>
          </w:p>
        </w:tc>
        <w:tc>
          <w:tcPr>
            <w:tcW w:type="dxa" w:w="576"/>
            <w:shd w:fill="FFFFFF"/>
          </w:tcPr>
          <w:p>
            <w:pPr>
              <w:spacing w:before="60" w:after="60"/>
            </w:pPr>
            <w:r>
              <w:rPr>
                <w:sz w:val="18"/>
              </w:rPr>
              <w:t>0.2</w:t>
            </w:r>
          </w:p>
        </w:tc>
      </w:tr>
      <w:tr>
        <w:trPr>
          <w:cantSplit/>
        </w:trPr>
        <w:tc>
          <w:tcPr>
            <w:tcW w:type="dxa" w:w="2160"/>
            <w:shd w:fill="F2F5F8"/>
          </w:tcPr>
          <w:p>
            <w:pPr>
              <w:spacing w:before="60" w:after="60"/>
            </w:pPr>
            <w:r>
              <w:rPr>
                <w:sz w:val="18"/>
              </w:rPr>
              <w:t>@db-specialist</w:t>
            </w:r>
          </w:p>
        </w:tc>
        <w:tc>
          <w:tcPr>
            <w:tcW w:type="dxa" w:w="3168"/>
            <w:shd w:fill="F2F5F8"/>
          </w:tcPr>
          <w:p>
            <w:pPr>
              <w:spacing w:before="60" w:after="60"/>
            </w:pPr>
            <w:r>
              <w:rPr>
                <w:sz w:val="18"/>
              </w:rPr>
              <w:t>Schemas, DDL Migrations &amp; Queries</w:t>
            </w:r>
          </w:p>
        </w:tc>
        <w:tc>
          <w:tcPr>
            <w:tcW w:type="dxa" w:w="1872"/>
            <w:shd w:fill="F2F5F8"/>
          </w:tcPr>
          <w:p>
            <w:pPr>
              <w:spacing w:before="60" w:after="60"/>
            </w:pPr>
            <w:r>
              <w:rPr>
                <w:sz w:val="18"/>
              </w:rPr>
              <w:t>opencode/gpt-4o</w:t>
            </w:r>
          </w:p>
        </w:tc>
        <w:tc>
          <w:tcPr>
            <w:tcW w:type="dxa" w:w="1584"/>
            <w:shd w:fill="F2F5F8"/>
          </w:tcPr>
          <w:p>
            <w:pPr>
              <w:spacing w:before="60" w:after="60"/>
            </w:pPr>
            <w:r>
              <w:rPr>
                <w:sz w:val="18"/>
              </w:rPr>
              <w:t>qwen3-coder</w:t>
            </w:r>
          </w:p>
        </w:tc>
        <w:tc>
          <w:tcPr>
            <w:tcW w:type="dxa" w:w="576"/>
            <w:shd w:fill="F2F5F8"/>
          </w:tcPr>
          <w:p>
            <w:pPr>
              <w:spacing w:before="60" w:after="60"/>
            </w:pPr>
            <w:r>
              <w:rPr>
                <w:sz w:val="18"/>
              </w:rPr>
              <w:t>0.1</w:t>
            </w:r>
          </w:p>
        </w:tc>
      </w:tr>
      <w:tr>
        <w:trPr>
          <w:cantSplit/>
        </w:trPr>
        <w:tc>
          <w:tcPr>
            <w:tcW w:type="dxa" w:w="2160"/>
            <w:shd w:fill="FFFFFF"/>
          </w:tcPr>
          <w:p>
            <w:pPr>
              <w:spacing w:before="60" w:after="60"/>
            </w:pPr>
            <w:r>
              <w:rPr>
                <w:sz w:val="18"/>
              </w:rPr>
              <w:t>@ui-builder</w:t>
            </w:r>
          </w:p>
        </w:tc>
        <w:tc>
          <w:tcPr>
            <w:tcW w:type="dxa" w:w="3168"/>
            <w:shd w:fill="FFFFFF"/>
          </w:tcPr>
          <w:p>
            <w:pPr>
              <w:spacing w:before="60" w:after="60"/>
            </w:pPr>
            <w:r>
              <w:rPr>
                <w:sz w:val="18"/>
              </w:rPr>
              <w:t>Frontend Logic &amp; WCAG 2.2 AA Standards</w:t>
            </w:r>
          </w:p>
        </w:tc>
        <w:tc>
          <w:tcPr>
            <w:tcW w:type="dxa" w:w="1872"/>
            <w:shd w:fill="FFFFFF"/>
          </w:tcPr>
          <w:p>
            <w:pPr>
              <w:spacing w:before="60" w:after="60"/>
            </w:pPr>
            <w:r>
              <w:rPr>
                <w:sz w:val="18"/>
              </w:rPr>
              <w:t>opencode/claude-3-5-sonnet</w:t>
            </w:r>
          </w:p>
        </w:tc>
        <w:tc>
          <w:tcPr>
            <w:tcW w:type="dxa" w:w="1584"/>
            <w:shd w:fill="FFFFFF"/>
          </w:tcPr>
          <w:p>
            <w:pPr>
              <w:spacing w:before="60" w:after="60"/>
            </w:pPr>
            <w:r>
              <w:rPr>
                <w:sz w:val="18"/>
              </w:rPr>
              <w:t>qwen3-coder</w:t>
            </w:r>
          </w:p>
        </w:tc>
        <w:tc>
          <w:tcPr>
            <w:tcW w:type="dxa" w:w="576"/>
            <w:shd w:fill="FFFFFF"/>
          </w:tcPr>
          <w:p>
            <w:pPr>
              <w:spacing w:before="60" w:after="60"/>
            </w:pPr>
            <w:r>
              <w:rPr>
                <w:sz w:val="18"/>
              </w:rPr>
              <w:t>0.3</w:t>
            </w:r>
          </w:p>
        </w:tc>
      </w:tr>
      <w:tr>
        <w:trPr>
          <w:cantSplit/>
        </w:trPr>
        <w:tc>
          <w:tcPr>
            <w:tcW w:type="dxa" w:w="2160"/>
            <w:shd w:fill="F2F5F8"/>
          </w:tcPr>
          <w:p>
            <w:pPr>
              <w:spacing w:before="60" w:after="60"/>
            </w:pPr>
            <w:r>
              <w:rPr>
                <w:sz w:val="18"/>
              </w:rPr>
              <w:t>@unit-tester / @api-tester</w:t>
            </w:r>
          </w:p>
        </w:tc>
        <w:tc>
          <w:tcPr>
            <w:tcW w:type="dxa" w:w="3168"/>
            <w:shd w:fill="F2F5F8"/>
          </w:tcPr>
          <w:p>
            <w:pPr>
              <w:spacing w:before="60" w:after="60"/>
            </w:pPr>
            <w:r>
              <w:rPr>
                <w:sz w:val="18"/>
              </w:rPr>
              <w:t>Test Suite Automation &amp; Payload Checks</w:t>
            </w:r>
          </w:p>
        </w:tc>
        <w:tc>
          <w:tcPr>
            <w:tcW w:type="dxa" w:w="1872"/>
            <w:shd w:fill="F2F5F8"/>
          </w:tcPr>
          <w:p>
            <w:pPr>
              <w:spacing w:before="60" w:after="60"/>
            </w:pPr>
            <w:r>
              <w:rPr>
                <w:sz w:val="18"/>
              </w:rPr>
              <w:t>opencode/gpt-4o-mini</w:t>
            </w:r>
          </w:p>
        </w:tc>
        <w:tc>
          <w:tcPr>
            <w:tcW w:type="dxa" w:w="1584"/>
            <w:shd w:fill="F2F5F8"/>
          </w:tcPr>
          <w:p>
            <w:pPr>
              <w:spacing w:before="60" w:after="60"/>
            </w:pPr>
            <w:r>
              <w:rPr>
                <w:sz w:val="18"/>
              </w:rPr>
              <w:t>mistral-small-3.2:24b</w:t>
            </w:r>
          </w:p>
        </w:tc>
        <w:tc>
          <w:tcPr>
            <w:tcW w:type="dxa" w:w="576"/>
            <w:shd w:fill="F2F5F8"/>
          </w:tcPr>
          <w:p>
            <w:pPr>
              <w:spacing w:before="60" w:after="60"/>
            </w:pPr>
            <w:r>
              <w:rPr>
                <w:sz w:val="18"/>
              </w:rPr>
              <w:t>0.1</w:t>
            </w:r>
          </w:p>
        </w:tc>
      </w:tr>
      <w:tr>
        <w:trPr>
          <w:cantSplit/>
        </w:trPr>
        <w:tc>
          <w:tcPr>
            <w:tcW w:type="dxa" w:w="2160"/>
            <w:shd w:fill="FFFFFF"/>
          </w:tcPr>
          <w:p>
            <w:pPr>
              <w:spacing w:before="60" w:after="60"/>
            </w:pPr>
            <w:r>
              <w:rPr>
                <w:sz w:val="18"/>
              </w:rPr>
              <w:t>@security-auditor (Audit)</w:t>
            </w:r>
          </w:p>
        </w:tc>
        <w:tc>
          <w:tcPr>
            <w:tcW w:type="dxa" w:w="3168"/>
            <w:shd w:fill="FFFFFF"/>
          </w:tcPr>
          <w:p>
            <w:pPr>
              <w:spacing w:before="60" w:after="60"/>
            </w:pPr>
            <w:r>
              <w:rPr>
                <w:sz w:val="18"/>
              </w:rPr>
              <w:t>Cybersecurity Audit &amp; OWASP Top 10</w:t>
            </w:r>
          </w:p>
        </w:tc>
        <w:tc>
          <w:tcPr>
            <w:tcW w:type="dxa" w:w="1872"/>
            <w:shd w:fill="FFFFFF"/>
          </w:tcPr>
          <w:p>
            <w:pPr>
              <w:spacing w:before="60" w:after="60"/>
            </w:pPr>
            <w:r>
              <w:rPr>
                <w:sz w:val="18"/>
              </w:rPr>
              <w:t>opencode/o3-mini</w:t>
            </w:r>
          </w:p>
        </w:tc>
        <w:tc>
          <w:tcPr>
            <w:tcW w:type="dxa" w:w="1584"/>
            <w:shd w:fill="FFFFFF"/>
          </w:tcPr>
          <w:p>
            <w:pPr>
              <w:spacing w:before="60" w:after="60"/>
            </w:pPr>
            <w:r>
              <w:rPr>
                <w:sz w:val="18"/>
              </w:rPr>
              <w:t>gpt-oss-120b</w:t>
            </w:r>
          </w:p>
        </w:tc>
        <w:tc>
          <w:tcPr>
            <w:tcW w:type="dxa" w:w="576"/>
            <w:shd w:fill="FFFFFF"/>
          </w:tcPr>
          <w:p>
            <w:pPr>
              <w:spacing w:before="60" w:after="60"/>
            </w:pPr>
            <w:r>
              <w:rPr>
                <w:sz w:val="18"/>
              </w:rPr>
              <w:t>0.0</w:t>
            </w:r>
          </w:p>
        </w:tc>
      </w:tr>
      <w:tr>
        <w:trPr>
          <w:cantSplit/>
        </w:trPr>
        <w:tc>
          <w:tcPr>
            <w:tcW w:type="dxa" w:w="2160"/>
            <w:shd w:fill="F2F5F8"/>
          </w:tcPr>
          <w:p>
            <w:pPr>
              <w:spacing w:before="60" w:after="60"/>
            </w:pPr>
            <w:r>
              <w:rPr>
                <w:sz w:val="18"/>
              </w:rPr>
              <w:t>@code-reviewer (Audit)</w:t>
            </w:r>
          </w:p>
        </w:tc>
        <w:tc>
          <w:tcPr>
            <w:tcW w:type="dxa" w:w="3168"/>
            <w:shd w:fill="F2F5F8"/>
          </w:tcPr>
          <w:p>
            <w:pPr>
              <w:spacing w:before="60" w:after="60"/>
            </w:pPr>
            <w:r>
              <w:rPr>
                <w:sz w:val="18"/>
              </w:rPr>
              <w:t>Static Code Review &amp; SOLID Compliance</w:t>
            </w:r>
          </w:p>
        </w:tc>
        <w:tc>
          <w:tcPr>
            <w:tcW w:type="dxa" w:w="1872"/>
            <w:shd w:fill="F2F5F8"/>
          </w:tcPr>
          <w:p>
            <w:pPr>
              <w:spacing w:before="60" w:after="60"/>
            </w:pPr>
            <w:r>
              <w:rPr>
                <w:sz w:val="18"/>
              </w:rPr>
              <w:t>opencode/deepseek-r1</w:t>
            </w:r>
          </w:p>
        </w:tc>
        <w:tc>
          <w:tcPr>
            <w:tcW w:type="dxa" w:w="1584"/>
            <w:shd w:fill="F2F5F8"/>
          </w:tcPr>
          <w:p>
            <w:pPr>
              <w:spacing w:before="60" w:after="60"/>
            </w:pPr>
            <w:r>
              <w:rPr>
                <w:sz w:val="18"/>
              </w:rPr>
              <w:t>deepseek-r1</w:t>
            </w:r>
          </w:p>
        </w:tc>
        <w:tc>
          <w:tcPr>
            <w:tcW w:type="dxa" w:w="576"/>
            <w:shd w:fill="F2F5F8"/>
          </w:tcPr>
          <w:p>
            <w:pPr>
              <w:spacing w:before="60" w:after="60"/>
            </w:pPr>
            <w:r>
              <w:rPr>
                <w:sz w:val="18"/>
              </w:rPr>
              <w:t>0.1</w:t>
            </w:r>
          </w:p>
        </w:tc>
      </w:tr>
    </w:tbl>
    <w:p>
      <w:pPr>
        <w:keepNext/>
        <w:spacing w:before="280" w:after="120"/>
      </w:pPr>
      <w:r>
        <w:rPr>
          <w:b/>
          <w:color w:val="2B4C7E"/>
          <w:sz w:val="30"/>
        </w:rPr>
        <w:t>4. Context Hygiene &amp; Optimization Protocols</w:t>
      </w:r>
    </w:p>
    <w:p>
      <w:pPr>
        <w:keepNext/>
        <w:spacing w:before="200" w:after="80"/>
      </w:pPr>
      <w:r>
        <w:rPr>
          <w:b/>
          <w:color w:val="3C5A87"/>
          <w:sz w:val="24"/>
        </w:rPr>
        <w:t>4.1 Session Discipline Rule</w:t>
      </w:r>
    </w:p>
    <w:p>
      <w:pPr>
        <w:pStyle w:val="ListBullet"/>
        <w:spacing w:before="0" w:after="60" w:line="276" w:lineRule="auto"/>
      </w:pPr>
      <w:r>
        <w:rPr>
          <w:b/>
          <w:sz w:val="20"/>
        </w:rPr>
        <w:t xml:space="preserve">One Session Per User Story: </w:t>
      </w:r>
      <w:r>
        <w:rPr>
          <w:sz w:val="20"/>
        </w:rPr>
        <w:t>Each Jira story is executed in a fresh OpenCode session (/new).</w:t>
      </w:r>
    </w:p>
    <w:p>
      <w:pPr>
        <w:pStyle w:val="ListBullet"/>
        <w:spacing w:before="0" w:after="60" w:line="276" w:lineRule="auto"/>
      </w:pPr>
      <w:r>
        <w:rPr>
          <w:b/>
          <w:sz w:val="20"/>
        </w:rPr>
        <w:t xml:space="preserve">Context Compaction: </w:t>
      </w:r>
      <w:r>
        <w:rPr>
          <w:sz w:val="20"/>
        </w:rPr>
        <w:t>For long sessions, run /compact to compress verbose output.</w:t>
      </w:r>
    </w:p>
    <w:p>
      <w:pPr>
        <w:keepNext/>
        <w:spacing w:before="200" w:after="80"/>
      </w:pPr>
      <w:r>
        <w:rPr>
          <w:b/>
          <w:color w:val="3C5A87"/>
          <w:sz w:val="24"/>
        </w:rPr>
        <w:t>4.2 Graphify Integration</w:t>
      </w:r>
    </w:p>
    <w:p>
      <w:pPr>
        <w:pStyle w:val="ListBullet"/>
        <w:spacing w:before="0" w:after="60" w:line="276" w:lineRule="auto"/>
      </w:pPr>
      <w:r>
        <w:rPr>
          <w:b/>
          <w:sz w:val="20"/>
        </w:rPr>
        <w:t xml:space="preserve">AST Parsing: </w:t>
      </w:r>
      <w:r>
        <w:rPr>
          <w:sz w:val="20"/>
        </w:rPr>
        <w:t>Uses local tree-sitter parsers zero-token context cost.</w:t>
      </w:r>
    </w:p>
    <w:p>
      <w:pPr>
        <w:pStyle w:val="ListBullet"/>
        <w:spacing w:before="0" w:after="60" w:line="276" w:lineRule="auto"/>
      </w:pPr>
      <w:r>
        <w:rPr>
          <w:b/>
          <w:sz w:val="20"/>
        </w:rPr>
        <w:t xml:space="preserve">Output Files: </w:t>
      </w:r>
      <w:r>
        <w:rPr>
          <w:sz w:val="20"/>
        </w:rPr>
        <w:t>Stores assets in graphify-out/ (graph.json, GRAPH_REPORT.md, and graph.html).</w:t>
      </w:r>
    </w:p>
    <w:p>
      <w:pPr>
        <w:pStyle w:val="ListBullet"/>
        <w:spacing w:before="0" w:after="60" w:line="276" w:lineRule="auto"/>
      </w:pPr>
      <w:r>
        <w:rPr>
          <w:b/>
          <w:sz w:val="20"/>
        </w:rPr>
        <w:t xml:space="preserve">Automated Updates: </w:t>
      </w:r>
      <w:r>
        <w:rPr>
          <w:sz w:val="20"/>
        </w:rPr>
        <w:t>Git hook (graphify hook install) updates AST on every commit.</w:t>
      </w:r>
    </w:p>
    <w:p>
      <w:pPr>
        <w:keepNext/>
        <w:spacing w:before="200" w:after="80"/>
      </w:pPr>
      <w:r>
        <w:rPr>
          <w:b/>
          <w:color w:val="3C5A87"/>
          <w:sz w:val="24"/>
        </w:rPr>
        <w:t>4.3 Visual Knowledge Graph Overview</w:t>
      </w:r>
    </w:p>
    <w:p>
      <w:pPr>
        <w:spacing w:before="0" w:after="120" w:line="276" w:lineRule="auto"/>
      </w:pPr>
      <w:r>
        <w:rPr>
          <w:i w:val="0"/>
          <w:sz w:val="20"/>
        </w:rPr>
        <w:t>To provide a clear overview of the system architecture and agent relationships, an interactive knowledge graph was generated (graphify-out/graph.html).</w:t>
      </w:r>
    </w:p>
    <w:p>
      <w:pPr>
        <w:spacing w:before="0" w:after="120" w:line="276" w:lineRule="auto"/>
      </w:pPr>
      <w:r>
        <w:rPr>
          <w:i/>
          <w:sz w:val="20"/>
        </w:rPr>
        <w:t>[Insert Image / Screenshot of graphify-out/graph.html here]</w:t>
      </w:r>
    </w:p>
    <w:p>
      <w:pPr>
        <w:keepNext/>
        <w:spacing w:before="200" w:after="80"/>
      </w:pPr>
      <w:r>
        <w:rPr>
          <w:b/>
          <w:color w:val="3C5A87"/>
          <w:sz w:val="24"/>
        </w:rPr>
        <w:t>Key Graph Statistics</w:t>
      </w:r>
    </w:p>
    <w:p>
      <w:pPr>
        <w:pStyle w:val="ListBullet"/>
        <w:spacing w:before="0" w:after="60" w:line="276" w:lineRule="auto"/>
      </w:pPr>
      <w:r>
        <w:rPr>
          <w:b/>
          <w:sz w:val="20"/>
        </w:rPr>
        <w:t xml:space="preserve">Total Nodes: </w:t>
      </w:r>
      <w:r>
        <w:rPr>
          <w:sz w:val="20"/>
        </w:rPr>
        <w:t>97</w:t>
      </w:r>
    </w:p>
    <w:p>
      <w:pPr>
        <w:pStyle w:val="ListBullet"/>
        <w:spacing w:before="0" w:after="60" w:line="276" w:lineRule="auto"/>
      </w:pPr>
      <w:r>
        <w:rPr>
          <w:b/>
          <w:sz w:val="20"/>
        </w:rPr>
        <w:t xml:space="preserve">Total Edges: </w:t>
      </w:r>
      <w:r>
        <w:rPr>
          <w:sz w:val="20"/>
        </w:rPr>
        <w:t>87</w:t>
      </w:r>
    </w:p>
    <w:p>
      <w:pPr>
        <w:pStyle w:val="ListBullet"/>
        <w:spacing w:before="0" w:after="60" w:line="276" w:lineRule="auto"/>
      </w:pPr>
      <w:r>
        <w:rPr>
          <w:b/>
          <w:sz w:val="20"/>
        </w:rPr>
        <w:t xml:space="preserve">Communities / Clusters: </w:t>
      </w:r>
      <w:r>
        <w:rPr>
          <w:sz w:val="20"/>
        </w:rPr>
        <w:t>10</w:t>
      </w:r>
    </w:p>
    <w:p>
      <w:pPr>
        <w:keepNext/>
        <w:spacing w:before="200" w:after="80"/>
      </w:pPr>
      <w:r>
        <w:rPr>
          <w:b/>
          <w:color w:val="3C5A87"/>
          <w:sz w:val="24"/>
        </w:rPr>
        <w:t>Community Breakdown</w:t>
      </w:r>
    </w:p>
    <w:p>
      <w:pPr>
        <w:spacing w:before="0" w:after="120" w:line="276" w:lineRule="auto"/>
      </w:pPr>
      <w:r>
        <w:rPr>
          <w:i w:val="0"/>
          <w:sz w:val="20"/>
        </w:rPr>
        <w:t>The graph categorizes the repository into 10 distinct functional communities: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880"/>
            <w:shd w:fill="2B4C7E"/>
          </w:tcPr>
          <w:p>
            <w:pPr>
              <w:spacing w:before="80" w:after="80"/>
            </w:pPr>
            <w:r>
              <w:rPr>
                <w:b/>
                <w:color w:val="FFFFFF"/>
                <w:sz w:val="19"/>
              </w:rPr>
              <w:t>Community / Cluster</w:t>
            </w:r>
          </w:p>
        </w:tc>
        <w:tc>
          <w:tcPr>
            <w:tcW w:type="dxa" w:w="1296"/>
            <w:shd w:fill="2B4C7E"/>
          </w:tcPr>
          <w:p>
            <w:pPr>
              <w:spacing w:before="80" w:after="80"/>
            </w:pPr>
            <w:r>
              <w:rPr>
                <w:b/>
                <w:color w:val="FFFFFF"/>
                <w:sz w:val="19"/>
              </w:rPr>
              <w:t>Node Count</w:t>
            </w:r>
          </w:p>
        </w:tc>
        <w:tc>
          <w:tcPr>
            <w:tcW w:type="dxa" w:w="5184"/>
            <w:shd w:fill="2B4C7E"/>
          </w:tcPr>
          <w:p>
            <w:pPr>
              <w:spacing w:before="80" w:after="80"/>
            </w:pPr>
            <w:r>
              <w:rPr>
                <w:b/>
                <w:color w:val="FFFFFF"/>
                <w:sz w:val="19"/>
              </w:rPr>
              <w:t>Description</w:t>
            </w:r>
          </w:p>
        </w:tc>
      </w:tr>
      <w:tr>
        <w:trPr>
          <w:cantSplit/>
        </w:trPr>
        <w:tc>
          <w:tcPr>
            <w:tcW w:type="dxa" w:w="2880"/>
            <w:shd w:fill="F2F5F8"/>
          </w:tcPr>
          <w:p>
            <w:pPr>
              <w:spacing w:before="60" w:after="60"/>
            </w:pPr>
            <w:r>
              <w:rPr>
                <w:sz w:val="18"/>
              </w:rPr>
              <w:t>Language-Specific Standards</w:t>
            </w:r>
          </w:p>
        </w:tc>
        <w:tc>
          <w:tcPr>
            <w:tcW w:type="dxa" w:w="1296"/>
            <w:shd w:fill="F2F5F8"/>
          </w:tcPr>
          <w:p>
            <w:pPr>
              <w:spacing w:before="60" w:after="60"/>
            </w:pPr>
            <w:r>
              <w:rPr>
                <w:sz w:val="18"/>
              </w:rPr>
              <w:t>20</w:t>
            </w:r>
          </w:p>
        </w:tc>
        <w:tc>
          <w:tcPr>
            <w:tcW w:type="dxa" w:w="5184"/>
            <w:shd w:fill="F2F5F8"/>
          </w:tcPr>
          <w:p>
            <w:pPr>
              <w:spacing w:before="60" w:after="60"/>
            </w:pPr>
            <w:r>
              <w:rPr>
                <w:sz w:val="18"/>
              </w:rPr>
              <w:t>Details Product Owner/Business Analyst responsibilities, user stories, acceptance criteria (Gherkin BDD), and defect tracking rules.</w:t>
            </w:r>
          </w:p>
        </w:tc>
      </w:tr>
      <w:tr>
        <w:trPr>
          <w:cantSplit/>
        </w:trPr>
        <w:tc>
          <w:tcPr>
            <w:tcW w:type="dxa" w:w="2880"/>
            <w:shd w:fill="FFFFFF"/>
          </w:tcPr>
          <w:p>
            <w:pPr>
              <w:spacing w:before="60" w:after="60"/>
            </w:pPr>
            <w:r>
              <w:rPr>
                <w:sz w:val="18"/>
              </w:rPr>
              <w:t>atlassian</w:t>
            </w:r>
          </w:p>
        </w:tc>
        <w:tc>
          <w:tcPr>
            <w:tcW w:type="dxa" w:w="1296"/>
            <w:shd w:fill="FFFFFF"/>
          </w:tcPr>
          <w:p>
            <w:pPr>
              <w:spacing w:before="60" w:after="60"/>
            </w:pPr>
            <w:r>
              <w:rPr>
                <w:sz w:val="18"/>
              </w:rPr>
              <w:t>15</w:t>
            </w:r>
          </w:p>
        </w:tc>
        <w:tc>
          <w:tcPr>
            <w:tcW w:type="dxa" w:w="5184"/>
            <w:shd w:fill="FFFFFF"/>
          </w:tcPr>
          <w:p>
            <w:pPr>
              <w:spacing w:before="60" w:after="60"/>
            </w:pPr>
            <w:r>
              <w:rPr>
                <w:sz w:val="18"/>
              </w:rPr>
              <w:t>MCP configuration and environment integration (Jira URL, credentials, API tokens).</w:t>
            </w:r>
          </w:p>
        </w:tc>
      </w:tr>
      <w:tr>
        <w:trPr>
          <w:cantSplit/>
        </w:trPr>
        <w:tc>
          <w:tcPr>
            <w:tcW w:type="dxa" w:w="2880"/>
            <w:shd w:fill="F2F5F8"/>
          </w:tcPr>
          <w:p>
            <w:pPr>
              <w:spacing w:before="60" w:after="60"/>
            </w:pPr>
            <w:r>
              <w:rPr>
                <w:sz w:val="18"/>
              </w:rPr>
              <w:t>Code Reviewer Agent</w:t>
            </w:r>
          </w:p>
        </w:tc>
        <w:tc>
          <w:tcPr>
            <w:tcW w:type="dxa" w:w="1296"/>
            <w:shd w:fill="F2F5F8"/>
          </w:tcPr>
          <w:p>
            <w:pPr>
              <w:spacing w:before="60" w:after="60"/>
            </w:pPr>
            <w:r>
              <w:rPr>
                <w:sz w:val="18"/>
              </w:rPr>
              <w:t>13</w:t>
            </w:r>
          </w:p>
        </w:tc>
        <w:tc>
          <w:tcPr>
            <w:tcW w:type="dxa" w:w="5184"/>
            <w:shd w:fill="F2F5F8"/>
          </w:tcPr>
          <w:p>
            <w:pPr>
              <w:spacing w:before="60" w:after="60"/>
            </w:pPr>
            <w:r>
              <w:rPr>
                <w:sz w:val="18"/>
              </w:rPr>
              <w:t>Security audits, clean code guidelines, and language-specific standards (Java, TS/JS, Python, Ruby).</w:t>
            </w:r>
          </w:p>
        </w:tc>
      </w:tr>
      <w:tr>
        <w:trPr>
          <w:cantSplit/>
        </w:trPr>
        <w:tc>
          <w:tcPr>
            <w:tcW w:type="dxa" w:w="2880"/>
            <w:shd w:fill="FFFFFF"/>
          </w:tcPr>
          <w:p>
            <w:pPr>
              <w:spacing w:before="60" w:after="60"/>
            </w:pPr>
            <w:r>
              <w:rPr>
                <w:sz w:val="18"/>
              </w:rPr>
              <w:t>Non-Negotiable Rules</w:t>
            </w:r>
          </w:p>
        </w:tc>
        <w:tc>
          <w:tcPr>
            <w:tcW w:type="dxa" w:w="1296"/>
            <w:shd w:fill="FFFFFF"/>
          </w:tcPr>
          <w:p>
            <w:pPr>
              <w:spacing w:before="60" w:after="60"/>
            </w:pPr>
            <w:r>
              <w:rPr>
                <w:sz w:val="18"/>
              </w:rPr>
              <w:t>11</w:t>
            </w:r>
          </w:p>
        </w:tc>
        <w:tc>
          <w:tcPr>
            <w:tcW w:type="dxa" w:w="5184"/>
            <w:shd w:fill="FFFFFF"/>
          </w:tcPr>
          <w:p>
            <w:pPr>
              <w:spacing w:before="60" w:after="60"/>
            </w:pPr>
            <w:r>
              <w:rPr>
                <w:sz w:val="18"/>
              </w:rPr>
              <w:t>Database specialist protocols, zero-downtime migrations, and query execution plan analysis (EXPLAIN ANALYZE).</w:t>
            </w:r>
          </w:p>
        </w:tc>
      </w:tr>
      <w:tr>
        <w:trPr>
          <w:cantSplit/>
        </w:trPr>
        <w:tc>
          <w:tcPr>
            <w:tcW w:type="dxa" w:w="2880"/>
            <w:shd w:fill="F2F5F8"/>
          </w:tcPr>
          <w:p>
            <w:pPr>
              <w:spacing w:before="60" w:after="60"/>
            </w:pPr>
            <w:r>
              <w:rPr>
                <w:sz w:val="18"/>
              </w:rPr>
              <w:t>GOV.UK Design Principles &amp; Rules</w:t>
            </w:r>
          </w:p>
        </w:tc>
        <w:tc>
          <w:tcPr>
            <w:tcW w:type="dxa" w:w="1296"/>
            <w:shd w:fill="F2F5F8"/>
          </w:tcPr>
          <w:p>
            <w:pPr>
              <w:spacing w:before="60" w:after="60"/>
            </w:pPr>
            <w:r>
              <w:rPr>
                <w:sz w:val="18"/>
              </w:rPr>
              <w:t>10</w:t>
            </w:r>
          </w:p>
        </w:tc>
        <w:tc>
          <w:tcPr>
            <w:tcW w:type="dxa" w:w="5184"/>
            <w:shd w:fill="F2F5F8"/>
          </w:tcPr>
          <w:p>
            <w:pPr>
              <w:spacing w:before="60" w:after="60"/>
            </w:pPr>
            <w:r>
              <w:rPr>
                <w:sz w:val="18"/>
              </w:rPr>
              <w:t>UI builder specifications, accessibility standards, typography, colors, and form component patterns.</w:t>
            </w:r>
          </w:p>
        </w:tc>
      </w:tr>
      <w:tr>
        <w:trPr>
          <w:cantSplit/>
        </w:trPr>
        <w:tc>
          <w:tcPr>
            <w:tcW w:type="dxa" w:w="2880"/>
            <w:shd w:fill="FFFFFF"/>
          </w:tcPr>
          <w:p>
            <w:pPr>
              <w:spacing w:before="60" w:after="60"/>
            </w:pPr>
            <w:r>
              <w:rPr>
                <w:sz w:val="18"/>
              </w:rPr>
              <w:t>opencode.json</w:t>
            </w:r>
          </w:p>
        </w:tc>
        <w:tc>
          <w:tcPr>
            <w:tcW w:type="dxa" w:w="1296"/>
            <w:shd w:fill="FFFFFF"/>
          </w:tcPr>
          <w:p>
            <w:pPr>
              <w:spacing w:before="60" w:after="60"/>
            </w:pPr>
            <w:r>
              <w:rPr>
                <w:sz w:val="18"/>
              </w:rPr>
              <w:t>9</w:t>
            </w:r>
          </w:p>
        </w:tc>
        <w:tc>
          <w:tcPr>
            <w:tcW w:type="dxa" w:w="5184"/>
            <w:shd w:fill="FFFFFF"/>
          </w:tcPr>
          <w:p>
            <w:pPr>
              <w:spacing w:before="60" w:after="60"/>
            </w:pPr>
            <w:r>
              <w:rPr>
                <w:sz w:val="18"/>
              </w:rPr>
              <w:t>Architectural Guardian agent setup, core maintainability rules, and living documentation standards.</w:t>
            </w:r>
          </w:p>
        </w:tc>
      </w:tr>
      <w:tr>
        <w:trPr>
          <w:cantSplit/>
        </w:trPr>
        <w:tc>
          <w:tcPr>
            <w:tcW w:type="dxa" w:w="2880"/>
            <w:shd w:fill="F2F5F8"/>
          </w:tcPr>
          <w:p>
            <w:pPr>
              <w:spacing w:before="60" w:after="60"/>
            </w:pPr>
            <w:r>
              <w:rPr>
                <w:sz w:val="18"/>
              </w:rPr>
              <w:t>tech-lead.md</w:t>
            </w:r>
          </w:p>
        </w:tc>
        <w:tc>
          <w:tcPr>
            <w:tcW w:type="dxa" w:w="1296"/>
            <w:shd w:fill="F2F5F8"/>
          </w:tcPr>
          <w:p>
            <w:pPr>
              <w:spacing w:before="60" w:after="60"/>
            </w:pPr>
            <w:r>
              <w:rPr>
                <w:sz w:val="18"/>
              </w:rPr>
              <w:t>8</w:t>
            </w:r>
          </w:p>
        </w:tc>
        <w:tc>
          <w:tcPr>
            <w:tcW w:type="dxa" w:w="5184"/>
            <w:shd w:fill="F2F5F8"/>
          </w:tcPr>
          <w:p>
            <w:pPr>
              <w:spacing w:before="60" w:after="60"/>
            </w:pPr>
            <w:r>
              <w:rPr>
                <w:sz w:val="18"/>
              </w:rPr>
              <w:t>Orchestrator agent setup, engineering principles, session hygiene rules, and execution pipeline architecture.</w:t>
            </w:r>
          </w:p>
        </w:tc>
      </w:tr>
      <w:tr>
        <w:trPr>
          <w:cantSplit/>
        </w:trPr>
        <w:tc>
          <w:tcPr>
            <w:tcW w:type="dxa" w:w="2880"/>
            <w:shd w:fill="FFFFFF"/>
          </w:tcPr>
          <w:p>
            <w:pPr>
              <w:spacing w:before="60" w:after="60"/>
            </w:pPr>
            <w:r>
              <w:rPr>
                <w:sz w:val="18"/>
              </w:rPr>
              <w:t>DevOps &amp; Infrastructure Specialist Agent</w:t>
            </w:r>
          </w:p>
        </w:tc>
        <w:tc>
          <w:tcPr>
            <w:tcW w:type="dxa" w:w="1296"/>
            <w:shd w:fill="FFFFFF"/>
          </w:tcPr>
          <w:p>
            <w:pPr>
              <w:spacing w:before="60" w:after="60"/>
            </w:pPr>
            <w:r>
              <w:rPr>
                <w:sz w:val="18"/>
              </w:rPr>
              <w:t>8</w:t>
            </w:r>
          </w:p>
        </w:tc>
        <w:tc>
          <w:tcPr>
            <w:tcW w:type="dxa" w:w="5184"/>
            <w:shd w:fill="FFFFFF"/>
          </w:tcPr>
          <w:p>
            <w:pPr>
              <w:spacing w:before="60" w:after="60"/>
            </w:pPr>
            <w:r>
              <w:rPr>
                <w:sz w:val="18"/>
              </w:rPr>
              <w:t>AWS/GitHub OIDC integration, trunk-based deployment, and continuous deployment pipeline stages.</w:t>
            </w:r>
          </w:p>
        </w:tc>
      </w:tr>
      <w:tr>
        <w:trPr>
          <w:cantSplit/>
        </w:trPr>
        <w:tc>
          <w:tcPr>
            <w:tcW w:type="dxa" w:w="2880"/>
            <w:shd w:fill="F2F5F8"/>
          </w:tcPr>
          <w:p>
            <w:pPr>
              <w:spacing w:before="60" w:after="60"/>
            </w:pPr>
            <w:r>
              <w:rPr>
                <w:sz w:val="18"/>
              </w:rPr>
              <w:t>README.md</w:t>
            </w:r>
          </w:p>
        </w:tc>
        <w:tc>
          <w:tcPr>
            <w:tcW w:type="dxa" w:w="1296"/>
            <w:shd w:fill="F2F5F8"/>
          </w:tcPr>
          <w:p>
            <w:pPr>
              <w:spacing w:before="60" w:after="60"/>
            </w:pPr>
            <w:r>
              <w:rPr>
                <w:sz w:val="18"/>
              </w:rPr>
              <w:t>2</w:t>
            </w:r>
          </w:p>
        </w:tc>
        <w:tc>
          <w:tcPr>
            <w:tcW w:type="dxa" w:w="5184"/>
            <w:shd w:fill="F2F5F8"/>
          </w:tcPr>
          <w:p>
            <w:pPr>
              <w:spacing w:before="60" w:after="60"/>
            </w:pPr>
            <w:r>
              <w:rPr>
                <w:sz w:val="18"/>
              </w:rPr>
              <w:t>Root project overview and Elevation of Privilege (EoP) context.</w:t>
            </w:r>
          </w:p>
        </w:tc>
      </w:tr>
      <w:tr>
        <w:trPr>
          <w:cantSplit/>
        </w:trPr>
        <w:tc>
          <w:tcPr>
            <w:tcW w:type="dxa" w:w="2880"/>
            <w:shd w:fill="FFFFFF"/>
          </w:tcPr>
          <w:p>
            <w:pPr>
              <w:spacing w:before="60" w:after="60"/>
            </w:pPr>
            <w:r>
              <w:rPr>
                <w:sz w:val="18"/>
              </w:rPr>
              <w:t>opencode-setup.md</w:t>
            </w:r>
          </w:p>
        </w:tc>
        <w:tc>
          <w:tcPr>
            <w:tcW w:type="dxa" w:w="1296"/>
            <w:shd w:fill="FFFFFF"/>
          </w:tcPr>
          <w:p>
            <w:pPr>
              <w:spacing w:before="60" w:after="60"/>
            </w:pPr>
            <w:r>
              <w:rPr>
                <w:sz w:val="18"/>
              </w:rPr>
              <w:t>1</w:t>
            </w:r>
          </w:p>
        </w:tc>
        <w:tc>
          <w:tcPr>
            <w:tcW w:type="dxa" w:w="5184"/>
            <w:shd w:fill="FFFFFF"/>
          </w:tcPr>
          <w:p>
            <w:pPr>
              <w:spacing w:before="60" w:after="60"/>
            </w:pPr>
            <w:r>
              <w:rPr>
                <w:sz w:val="18"/>
              </w:rPr>
              <w:t>OpenCode initial setup and configuration guide.</w:t>
            </w:r>
          </w:p>
        </w:tc>
      </w:tr>
    </w:tbl>
    <w:p>
      <w:pPr>
        <w:keepNext/>
        <w:spacing w:before="200" w:after="80"/>
      </w:pPr>
      <w:r>
        <w:rPr>
          <w:b/>
          <w:color w:val="3C5A87"/>
          <w:sz w:val="24"/>
        </w:rPr>
        <w:t>4.4 HTML Visualization Enhancements (graph.html)</w:t>
      </w:r>
    </w:p>
    <w:p>
      <w:pPr>
        <w:pStyle w:val="ListBullet"/>
        <w:spacing w:before="0" w:after="60" w:line="276" w:lineRule="auto"/>
      </w:pPr>
      <w:r>
        <w:rPr>
          <w:b/>
          <w:sz w:val="20"/>
        </w:rPr>
        <w:t xml:space="preserve">XSS Prevention in Neighbor Links: </w:t>
      </w:r>
      <w:r>
        <w:rPr>
          <w:sz w:val="20"/>
        </w:rPr>
        <w:t>Replaced inline stringified onclick handlers with safe HTML escaping (esc()) and data-nid attributes handled via document-level event delegation.</w:t>
      </w:r>
    </w:p>
    <w:p>
      <w:pPr>
        <w:pStyle w:val="ListBullet"/>
        <w:spacing w:before="0" w:after="60" w:line="276" w:lineRule="auto"/>
      </w:pPr>
      <w:r>
        <w:rPr>
          <w:b/>
          <w:sz w:val="20"/>
        </w:rPr>
        <w:t xml:space="preserve">Hyperedge Visualization: </w:t>
      </w:r>
      <w:r>
        <w:rPr>
          <w:sz w:val="20"/>
        </w:rPr>
        <w:t>Added an afterDrawing canvas rendering hook to draw shaded region hulls (#6366f1) and centroid labels for hyperedges directly in network coordinate space.</w:t>
      </w:r>
    </w:p>
    <w:p>
      <w:pPr>
        <w:pStyle w:val="ListBullet"/>
        <w:spacing w:before="0" w:after="60" w:line="276" w:lineRule="auto"/>
      </w:pPr>
      <w:r>
        <w:rPr>
          <w:b/>
          <w:sz w:val="20"/>
        </w:rPr>
        <w:t xml:space="preserve">Interactive UI Improvements: </w:t>
      </w:r>
      <w:r>
        <w:rPr>
          <w:sz w:val="20"/>
        </w:rPr>
        <w:t>Added dynamic community filtering via legend checkboxes, 'Select All' / indeterminate toggle states, and automatic node focus with node detail panels.</w:t>
      </w:r>
    </w:p>
    <w:p>
      <w:pPr>
        <w:keepNext/>
        <w:spacing w:before="280" w:after="120"/>
      </w:pPr>
      <w:r>
        <w:rPr>
          <w:b/>
          <w:color w:val="2B4C7E"/>
          <w:sz w:val="30"/>
        </w:rPr>
        <w:t>5. Ecosystem Integrations &amp; Governance Rules</w:t>
      </w:r>
    </w:p>
    <w:p>
      <w:pPr>
        <w:keepNext/>
        <w:spacing w:before="200" w:after="80"/>
      </w:pPr>
      <w:r>
        <w:rPr>
          <w:b/>
          <w:color w:val="3C5A87"/>
          <w:sz w:val="24"/>
        </w:rPr>
        <w:t>5.1 Documentation Strategy</w:t>
      </w:r>
    </w:p>
    <w:p>
      <w:pPr>
        <w:spacing w:before="0" w:after="120" w:line="276" w:lineRule="auto"/>
      </w:pPr>
      <w:r>
        <w:rPr>
          <w:i w:val="0"/>
          <w:sz w:val="20"/>
        </w:rPr>
        <w:t>All system documentation, architectural decision records (ADRs), and living guides are maintained directly within GitHub (e.g., repository READMEs, markdown files in /docs, and GitHub Wiki/Pages) to ensure documentation stays version-controlled alongside code.</w:t>
      </w:r>
    </w:p>
    <w:p>
      <w:pPr>
        <w:keepNext/>
        <w:spacing w:before="200" w:after="80"/>
      </w:pPr>
      <w:r>
        <w:rPr>
          <w:b/>
          <w:color w:val="3C5A87"/>
          <w:sz w:val="24"/>
        </w:rPr>
        <w:t>5.2 Jira Integration</w:t>
      </w:r>
    </w:p>
    <w:p>
      <w:pPr>
        <w:spacing w:before="0" w:after="120" w:line="276" w:lineRule="auto"/>
      </w:pPr>
      <w:r>
        <w:rPr>
          <w:i w:val="0"/>
          <w:sz w:val="20"/>
        </w:rPr>
        <w:t>Task tracking and ticket management are integrated via Jira MCP configuration.</w:t>
      </w:r>
    </w:p>
    <w:tbl>
      <w:tblPr>
        <w:tblW w:type="auto" w:w="0"/>
        <w:jc w:val="center"/>
        <w:tblLook w:firstColumn="1" w:firstRow="1" w:lastColumn="0" w:lastRow="0" w:noHBand="0" w:noVBand="1" w:val="04A0"/>
      </w:tblPr>
      <w:tblGrid>
        <w:gridCol w:w="9360"/>
      </w:tblGrid>
      <w:tr>
        <w:tc>
          <w:tcPr>
            <w:tcW w:type="dxa" w:w="9360"/>
            <w:shd w:fill="272822"/>
          </w:tcPr>
          <w:p>
            <w:pPr>
              <w:spacing w:before="120" w:after="120"/>
              <w:ind w:left="144" w:right="144"/>
            </w:pPr>
            <w:r>
              <w:rPr>
                <w:rFonts w:ascii="Consolas" w:hAnsi="Consolas"/>
                <w:color w:val="F8F8F2"/>
                <w:sz w:val="17"/>
              </w:rPr>
              <w:t>{</w:t>
              <w:br/>
              <w:t xml:space="preserve">  "$schema": "https://opencode.ai/config.json",</w:t>
              <w:br/>
              <w:t xml:space="preserve">  "mcp": {</w:t>
              <w:br/>
              <w:t xml:space="preserve">    "atlassian": {</w:t>
              <w:br/>
              <w:t xml:space="preserve">      "type": "local",</w:t>
              <w:br/>
              <w:t xml:space="preserve">      "command": ["uvx", "mcp-atlassian"],</w:t>
              <w:br/>
              <w:t xml:space="preserve">      "enabled": true,</w:t>
              <w:br/>
              <w:t xml:space="preserve">      "environment": {</w:t>
              <w:br/>
              <w:t xml:space="preserve">        "JIRA_URL": "https://your-domain.atlassian.net",</w:t>
              <w:br/>
              <w:t xml:space="preserve">        "JIRA_USERNAME": "opencode-bot@yourdomain.com",</w:t>
              <w:br/>
              <w:t xml:space="preserve">        "JIRA_API_TOKEN": "{env:JIRA_API_TOKEN}"</w:t>
              <w:br/>
              <w:t xml:space="preserve">      }</w:t>
              <w:br/>
              <w:t xml:space="preserve">    }</w:t>
              <w:br/>
              <w:t xml:space="preserve">  }</w:t>
              <w:br/>
              <w:t>}</w:t>
            </w:r>
          </w:p>
        </w:tc>
      </w:tr>
    </w:tbl>
    <w:p>
      <w:pPr>
        <w:keepNext/>
        <w:spacing w:before="200" w:after="80"/>
      </w:pPr>
      <w:r>
        <w:rPr>
          <w:b/>
          <w:color w:val="3C5A87"/>
          <w:sz w:val="24"/>
        </w:rPr>
        <w:t>5.3 Mandatory Git Commit Ticket Prefix Rule</w:t>
      </w:r>
    </w:p>
    <w:p>
      <w:pPr>
        <w:spacing w:before="0" w:after="120" w:line="276" w:lineRule="auto"/>
      </w:pPr>
      <w:r>
        <w:rPr>
          <w:i w:val="0"/>
          <w:sz w:val="20"/>
        </w:rPr>
        <w:t>Every commit generated by any agent MUST be prefixed with the active Jira ticket key (e.g., [THREAT-123] feat: ...).</w:t>
      </w:r>
    </w:p>
    <w:tbl>
      <w:tblPr>
        <w:tblW w:type="auto" w:w="0"/>
        <w:jc w:val="center"/>
        <w:tblLook w:firstColumn="1" w:firstRow="1" w:lastColumn="0" w:lastRow="0" w:noHBand="0" w:noVBand="1" w:val="04A0"/>
      </w:tblPr>
      <w:tblGrid>
        <w:gridCol w:w="9360"/>
      </w:tblGrid>
      <w:tr>
        <w:tc>
          <w:tcPr>
            <w:tcW w:type="dxa" w:w="9360"/>
            <w:shd w:fill="272822"/>
          </w:tcPr>
          <w:p>
            <w:pPr>
              <w:spacing w:before="120" w:after="120"/>
              <w:ind w:left="144" w:right="144"/>
            </w:pPr>
            <w:r>
              <w:rPr>
                <w:rFonts w:ascii="Consolas" w:hAnsi="Consolas"/>
                <w:color w:val="F8F8F2"/>
                <w:sz w:val="17"/>
              </w:rPr>
              <w:t>#!/bin/sh</w:t>
              <w:br/>
              <w:t>JIRA_REGEX="([A-Z]{2,10}-[0-9]+)"</w:t>
              <w:br/>
              <w:t>if ! grep -qE "$JIRA_REGEX" "$1"; then</w:t>
              <w:br/>
              <w:t xml:space="preserve">  echo "❌ ERROR: Commit rejected! Message must include a valid Jira key (e.g., [THREAT-123] feat: ...)"</w:t>
              <w:br/>
              <w:t xml:space="preserve">  exit 1</w:t>
              <w:br/>
              <w:t>fi</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