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B8856B" w14:textId="77777777" w:rsidR="002E2E13" w:rsidRDefault="00314349">
      <w:pPr>
        <w:spacing w:after="80"/>
      </w:pPr>
      <w:r>
        <w:rPr>
          <w:rFonts w:ascii="Calibri" w:hAnsi="Calibri"/>
          <w:b/>
          <w:color w:val="0A2540"/>
          <w:sz w:val="48"/>
        </w:rPr>
        <w:t>Building an Autonomous Engineering OS in OpenCode</w:t>
      </w:r>
    </w:p>
    <w:p w14:paraId="6DE312BD" w14:textId="77777777" w:rsidR="002E2E13" w:rsidRDefault="00314349">
      <w:pPr>
        <w:spacing w:after="320"/>
      </w:pPr>
      <w:r>
        <w:rPr>
          <w:rFonts w:ascii="Calibri" w:hAnsi="Calibri"/>
          <w:i/>
          <w:color w:val="4A5568"/>
          <w:sz w:val="26"/>
        </w:rPr>
        <w:t>Architectural Blueprint, Decision Rationale, and Guardrail Protocols for Multi-Agent Software Engineering</w:t>
      </w:r>
    </w:p>
    <w:p w14:paraId="3B52D7B1" w14:textId="77777777" w:rsidR="002E2E13" w:rsidRDefault="00314349">
      <w:pPr>
        <w:keepNext/>
        <w:pBdr>
          <w:bottom w:val="single" w:sz="12" w:space="4" w:color="008080"/>
        </w:pBdr>
        <w:spacing w:before="360" w:after="120"/>
      </w:pPr>
      <w:r>
        <w:rPr>
          <w:rFonts w:ascii="Calibri" w:hAnsi="Calibri"/>
          <w:b/>
          <w:color w:val="0A2540"/>
          <w:sz w:val="36"/>
        </w:rPr>
        <w:t>1. Introduction &amp; Core Objective</w:t>
      </w:r>
    </w:p>
    <w:p w14:paraId="74298507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>This document outlines the architectural blueprint, design philosophy, and operational guardrails of an enterprise-grade Multi-Agent Software Development System built inside OpenCode. The objective of this architecture is to transform AI from a basic auto-complete snippet generator into a structured, highly disciplined, and autonomous engineering team capable of planning, executing, auditing, and continuously deploying production code directly to AWS.</w:t>
      </w:r>
    </w:p>
    <w:p w14:paraId="77E154AD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>Many AI coding setups fail because they treat the AI as a single omniscient developer. In reality, complex software engineering requires distinct division of labor, domain specialization, rigorous governance, and automated verification. This framework establishes an interconnected ecosystem of sub-agents and expert advisory personas that mirror a high-performing human software organization while maintaining strict human-in-the-loop safety controls.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2E13" w14:paraId="653BDDE2" w14:textId="77777777">
        <w:trPr>
          <w:jc w:val="center"/>
        </w:trPr>
        <w:tc>
          <w:tcPr>
            <w:tcW w:w="9360" w:type="dxa"/>
            <w:tcBorders>
              <w:left w:val="single" w:sz="24" w:space="0" w:color="00808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7A69DC" w14:textId="77777777" w:rsidR="002E2E13" w:rsidRDefault="00314349">
            <w:pPr>
              <w:spacing w:before="40" w:after="80"/>
            </w:pPr>
            <w:r>
              <w:rPr>
                <w:rFonts w:ascii="Calibri" w:hAnsi="Calibri"/>
                <w:b/>
                <w:color w:val="008080"/>
                <w:sz w:val="20"/>
              </w:rPr>
              <w:t>💡</w:t>
            </w:r>
            <w:r>
              <w:rPr>
                <w:rFonts w:ascii="Calibri" w:hAnsi="Calibri"/>
                <w:b/>
                <w:color w:val="008080"/>
                <w:sz w:val="20"/>
              </w:rPr>
              <w:t xml:space="preserve"> CORE PHILOSOPHY</w:t>
            </w:r>
            <w:r>
              <w:rPr>
                <w:rFonts w:ascii="Calibri" w:hAnsi="Calibri"/>
                <w:b/>
                <w:color w:val="008080"/>
                <w:sz w:val="20"/>
              </w:rPr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>The core goal is not to eliminate human oversight, but to elevate human engineers from manual coders to strategic orchestrators—spending 2 minutes reviewing pre-tested, fully compliant Pull Requests instead of 2 hours writing baseline code.</w:t>
            </w:r>
          </w:p>
        </w:tc>
      </w:tr>
    </w:tbl>
    <w:p w14:paraId="44BC1373" w14:textId="77777777" w:rsidR="002E2E13" w:rsidRDefault="002E2E13">
      <w:pPr>
        <w:spacing w:after="80"/>
      </w:pPr>
    </w:p>
    <w:p w14:paraId="7E42EF47" w14:textId="77777777" w:rsidR="002E2E13" w:rsidRDefault="00314349">
      <w:pPr>
        <w:keepNext/>
        <w:pBdr>
          <w:bottom w:val="single" w:sz="12" w:space="4" w:color="008080"/>
        </w:pBdr>
        <w:spacing w:before="360" w:after="120"/>
      </w:pPr>
      <w:r>
        <w:rPr>
          <w:rFonts w:ascii="Calibri" w:hAnsi="Calibri"/>
          <w:b/>
          <w:color w:val="0A2540"/>
          <w:sz w:val="36"/>
        </w:rPr>
        <w:t>2. Architectural Foundations &amp; Principles</w:t>
      </w:r>
    </w:p>
    <w:p w14:paraId="68E26217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>To avoid common pitfalls in AI-driven engineering—such as scope creep, architectural drift, monolithic pull requests, and broken deployment pipelines—the system is governed by four non-negotiable delivery paradigms:</w:t>
      </w:r>
    </w:p>
    <w:p w14:paraId="4FD9EA64" w14:textId="77777777" w:rsidR="002E2E13" w:rsidRDefault="00314349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2.1 Walking Skeleton First (Story #1)</w:t>
      </w:r>
    </w:p>
    <w:p w14:paraId="7601D697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 xml:space="preserve">In traditional software projects, infrastructure and CI/CD pipelines are often treated as an afterthought, configured late in the development cycle. In our architecture, the PO and Tech Lead are strictly mandated to enforce the </w:t>
      </w:r>
    </w:p>
    <w:p w14:paraId="3F925E02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Walking Skeleton Protocol: </w:t>
      </w:r>
      <w:r>
        <w:rPr>
          <w:rFonts w:ascii="Calibri" w:hAnsi="Calibri"/>
          <w:color w:val="2D3748"/>
        </w:rPr>
        <w:t xml:space="preserve">Walking Skeleton technique. Story #1 of any new initiative is explicitly designated to build a minimal end-to-end slice: compiling code, running a passing test, building via </w:t>
      </w:r>
      <w:r>
        <w:rPr>
          <w:rFonts w:ascii="Calibri" w:hAnsi="Calibri"/>
          <w:color w:val="2D3748"/>
        </w:rPr>
        <w:lastRenderedPageBreak/>
        <w:t>GitHub Actions, and deploying a lightweight 'Hello World' health-check endpoint directly to AWS production.</w:t>
      </w:r>
    </w:p>
    <w:p w14:paraId="6D2D5601" w14:textId="77777777" w:rsidR="002E2E13" w:rsidRDefault="00314349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2.2 Trunk-Based Development over GitFlow</w:t>
      </w:r>
    </w:p>
    <w:p w14:paraId="7F49580D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 xml:space="preserve">AI sub-agents perform best when feedback loops are extremely tight. Complex branch topologies (like GitFlow) introduce merge conflicts, long-lived drift, and context staleness. Our architecture enforces strict </w:t>
      </w:r>
    </w:p>
    <w:p w14:paraId="3BC3D5F2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Trunk Rules: </w:t>
      </w:r>
      <w:r>
        <w:rPr>
          <w:rFonts w:ascii="Calibri" w:hAnsi="Calibri"/>
          <w:color w:val="2D3748"/>
        </w:rPr>
        <w:t>Trunk-Based Development. All agent work is conducted on short-lived topic branches that merge directly back into main via small, frequent Pull Requests. Long-lived feature branches are completely prohibited.</w:t>
      </w:r>
    </w:p>
    <w:p w14:paraId="62F37C0E" w14:textId="77777777" w:rsidR="002E2E13" w:rsidRDefault="00314349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2.3 Continuous Deployment (Deploy Every Passing Commit)</w:t>
      </w:r>
    </w:p>
    <w:p w14:paraId="31EB0871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Real CI/CD: </w:t>
      </w:r>
      <w:r>
        <w:rPr>
          <w:rFonts w:ascii="Calibri" w:hAnsi="Calibri"/>
          <w:color w:val="2D3748"/>
        </w:rPr>
        <w:t>To achieve true Continuous Delivery, every commit merged to the main branch automatically triggers the full testing suite. If unit, API, static analysis, and security checks pass, GitHub Actions immediately executes a zero-downtime deployment to AWS production.</w:t>
      </w:r>
    </w:p>
    <w:p w14:paraId="20AFAB59" w14:textId="77777777" w:rsidR="002E2E13" w:rsidRDefault="00314349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2.4 Decoupling Deployment from Release (Feature Flags)</w:t>
      </w:r>
    </w:p>
    <w:p w14:paraId="0E4D3613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 xml:space="preserve">Because code is pushed to production continuously, incomplete user stories or dark launches must never expose unready capabilities to end users. All incomplete features are wrapped in </w:t>
      </w:r>
    </w:p>
    <w:p w14:paraId="432027FB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Feature Flagging: </w:t>
      </w:r>
      <w:r>
        <w:rPr>
          <w:rFonts w:ascii="Calibri" w:hAnsi="Calibri"/>
          <w:color w:val="2D3748"/>
        </w:rPr>
        <w:t>Feature Flags. Flags default to 'OFF' in production, allowing the system to continuously deploy passing code while granting the Product Owner complete control over when a feature is activated for users.</w:t>
      </w:r>
    </w:p>
    <w:p w14:paraId="43AAA10C" w14:textId="77777777" w:rsidR="002E2E13" w:rsidRDefault="00314349">
      <w:pPr>
        <w:keepNext/>
        <w:pBdr>
          <w:bottom w:val="single" w:sz="12" w:space="4" w:color="008080"/>
        </w:pBdr>
        <w:spacing w:before="360" w:after="120"/>
      </w:pPr>
      <w:r>
        <w:rPr>
          <w:rFonts w:ascii="Calibri" w:hAnsi="Calibri"/>
          <w:b/>
          <w:color w:val="0A2540"/>
          <w:sz w:val="36"/>
        </w:rPr>
        <w:t>3. Multi-Agent System Architecture</w:t>
      </w:r>
    </w:p>
    <w:p w14:paraId="03F13389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>The system is divided into specialized sub-agents, each living as a distinct configuration file under .opencode/agents/*.md. This separation guarantees clear boundaries of responsibility and prevents context dilution.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320"/>
      </w:tblGrid>
      <w:tr w:rsidR="002E2E13" w14:paraId="4A32F6C6" w14:textId="77777777">
        <w:trPr>
          <w:jc w:val="center"/>
        </w:trPr>
        <w:tc>
          <w:tcPr>
            <w:tcW w:w="2592" w:type="dxa"/>
            <w:shd w:val="clear" w:color="auto" w:fill="0A254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2D101" w14:textId="77777777" w:rsidR="002E2E13" w:rsidRDefault="00314349">
            <w:r>
              <w:rPr>
                <w:rFonts w:ascii="Calibri" w:hAnsi="Calibri"/>
                <w:b/>
                <w:color w:val="FFFFFF"/>
                <w:sz w:val="21"/>
              </w:rPr>
              <w:t>Agent Name</w:t>
            </w:r>
          </w:p>
        </w:tc>
        <w:tc>
          <w:tcPr>
            <w:tcW w:w="2448" w:type="dxa"/>
            <w:shd w:val="clear" w:color="auto" w:fill="0A254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90315" w14:textId="77777777" w:rsidR="002E2E13" w:rsidRDefault="00314349">
            <w:r>
              <w:rPr>
                <w:rFonts w:ascii="Calibri" w:hAnsi="Calibri"/>
                <w:b/>
                <w:color w:val="FFFFFF"/>
                <w:sz w:val="21"/>
              </w:rPr>
              <w:t>Role / Persona</w:t>
            </w:r>
          </w:p>
        </w:tc>
        <w:tc>
          <w:tcPr>
            <w:tcW w:w="4320" w:type="dxa"/>
            <w:shd w:val="clear" w:color="auto" w:fill="0A254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80FCE" w14:textId="77777777" w:rsidR="002E2E13" w:rsidRDefault="00314349">
            <w:r>
              <w:rPr>
                <w:rFonts w:ascii="Calibri" w:hAnsi="Calibri"/>
                <w:b/>
                <w:color w:val="FFFFFF"/>
                <w:sz w:val="21"/>
              </w:rPr>
              <w:t>Primary Responsibilities</w:t>
            </w:r>
          </w:p>
        </w:tc>
      </w:tr>
      <w:tr w:rsidR="002E2E13" w14:paraId="073B9F6E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1F8D3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@product-owner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389E6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Product Owner / Business Analyst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E0ED3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Drives requirement discovery, challenges premature technical solutions, writes INVEST Jira stories with BDD Gherkin criteria, mandates Walking Skeleton, manages feature flag release status, and tracks defects.</w:t>
            </w:r>
          </w:p>
        </w:tc>
      </w:tr>
      <w:tr w:rsidR="002E2E13" w14:paraId="370676F5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FEC38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@tech-lead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5EF19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Principal Tech Lead &amp; Orchestrator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241E3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 xml:space="preserve">Acts as system planner and engineering dispatcher. Advises on technical trade-offs, coordinates sub-agent execution pipelines, enforces Trunk-Based </w:t>
            </w:r>
            <w:r>
              <w:rPr>
                <w:rFonts w:ascii="Calibri" w:hAnsi="Calibri"/>
                <w:color w:val="2D3748"/>
                <w:sz w:val="19"/>
              </w:rPr>
              <w:lastRenderedPageBreak/>
              <w:t>rules, and maintains architectural integrity.</w:t>
            </w:r>
          </w:p>
        </w:tc>
      </w:tr>
      <w:tr w:rsidR="002E2E13" w14:paraId="088A8FFB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E7883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lastRenderedPageBreak/>
              <w:t>@devops-engineer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1F575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DevOps &amp; SRE Specialist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2685E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Generates Infrastructure-as-Code (Terraform/AWS CDK), constructs GitHub Actions CI/CD workflows, configures AWS OIDC authentication, and manages continuous deployment pipelines.</w:t>
            </w:r>
          </w:p>
        </w:tc>
      </w:tr>
      <w:tr w:rsidR="002E2E13" w14:paraId="4C3A1034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23BA4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@architecture-guardian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6E9E8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Software Architect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82F45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Maintains C4/arc42 architectural models, enforces domain boundaries, reviews system design, and documents Architecture Decision Records (ADRs).</w:t>
            </w:r>
          </w:p>
        </w:tc>
      </w:tr>
      <w:tr w:rsidR="002E2E13" w14:paraId="08C8E3C6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C8630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@db-specialist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4C8F0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Database Engineer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D6F6F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Designs relational and document schemas, writes migration scripts, optimizes query performance, and manages index strategies.</w:t>
            </w:r>
          </w:p>
        </w:tc>
      </w:tr>
      <w:tr w:rsidR="002E2E13" w14:paraId="20A6B077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6CC5E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@ui-builder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AF6C8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Frontend Engineer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A3F2F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Implements user interfaces conforming strictly to accessibility standards (WCAG 2.2 AA / GOV.UK Design System) and wraps UI components in feature flags.</w:t>
            </w:r>
          </w:p>
        </w:tc>
      </w:tr>
      <w:tr w:rsidR="002E2E13" w14:paraId="2A855851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C7629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@unit-tester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DCDD2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QA Unit Automation Engineer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DE3B4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Writes fast, isolated unit tests with high branch coverage prior to PR creation.</w:t>
            </w:r>
          </w:p>
        </w:tc>
      </w:tr>
      <w:tr w:rsidR="002E2E13" w14:paraId="464E1F71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9F2DE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@api-tester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70784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Integration &amp; Contract Tester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816C4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Verifies REST/GraphQL API contracts, end-to-end payload validations, and integration boundary tests.</w:t>
            </w:r>
          </w:p>
        </w:tc>
      </w:tr>
      <w:tr w:rsidR="002E2E13" w14:paraId="454BAA72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8FB68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@security-auditor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197F3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Cybersecurity Specialist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F36F2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Audits code and IaC for vulnerability patterns, OWASP top 10 risks, plaintext secrets, and aggressive IAM wildcards.</w:t>
            </w:r>
          </w:p>
        </w:tc>
      </w:tr>
      <w:tr w:rsidR="002E2E13" w14:paraId="2130FF07" w14:textId="77777777">
        <w:trPr>
          <w:jc w:val="center"/>
        </w:trPr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6AAAA" w14:textId="77777777" w:rsidR="002E2E13" w:rsidRDefault="00314349">
            <w:pPr>
              <w:spacing w:after="0"/>
            </w:pPr>
            <w:r>
              <w:rPr>
                <w:rFonts w:ascii="Calibri" w:hAnsi="Calibri"/>
                <w:b/>
                <w:color w:val="008080"/>
                <w:sz w:val="20"/>
              </w:rPr>
              <w:t>@code-reviewer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DE7AC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20"/>
              </w:rPr>
              <w:t>Senior Peer Reviewer</w:t>
            </w:r>
          </w:p>
        </w:tc>
        <w:tc>
          <w:tcPr>
            <w:tcW w:w="3120" w:type="dxa"/>
            <w:tcBorders>
              <w:bottom w:val="single" w:sz="4" w:space="0" w:color="CBD5E0"/>
            </w:tcBorders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D4F89" w14:textId="77777777" w:rsidR="002E2E13" w:rsidRDefault="00314349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Performs static code reviews for readability, SOLID compliance, error handling, and maintainability before human review.</w:t>
            </w:r>
          </w:p>
        </w:tc>
      </w:tr>
    </w:tbl>
    <w:p w14:paraId="6FB464F7" w14:textId="77777777" w:rsidR="002E2E13" w:rsidRDefault="002E2E13">
      <w:pPr>
        <w:spacing w:after="160"/>
      </w:pPr>
    </w:p>
    <w:p w14:paraId="7692451F" w14:textId="77777777" w:rsidR="002E2E13" w:rsidRDefault="00314349">
      <w:pPr>
        <w:keepNext/>
        <w:pBdr>
          <w:bottom w:val="single" w:sz="12" w:space="4" w:color="008080"/>
        </w:pBdr>
        <w:spacing w:before="360" w:after="120"/>
      </w:pPr>
      <w:r>
        <w:rPr>
          <w:rFonts w:ascii="Calibri" w:hAnsi="Calibri"/>
          <w:b/>
          <w:color w:val="0A2540"/>
          <w:sz w:val="36"/>
        </w:rPr>
        <w:t>4. Expert Advisory System &amp; Curation Strategy</w:t>
      </w:r>
    </w:p>
    <w:p w14:paraId="6472BDF4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 xml:space="preserve">In addition to sub-agents that perform active tasks, the architecture incorporates an </w:t>
      </w:r>
    </w:p>
    <w:p w14:paraId="20EE380C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Expert Consult Protocol: </w:t>
      </w:r>
      <w:r>
        <w:rPr>
          <w:rFonts w:ascii="Calibri" w:hAnsi="Calibri"/>
          <w:color w:val="2D3748"/>
        </w:rPr>
        <w:t>Expert Advisory Layer. When the Prompter or PO faces complex trade-offs (e.g., choosing between a relational database or a document store), the system consults specialized expert profiles to present an objective trade-off matrix.</w:t>
      </w:r>
    </w:p>
    <w:p w14:paraId="6DE8E83E" w14:textId="77777777" w:rsidR="002E2E13" w:rsidRDefault="00314349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4.1 Pruning Expert Noise (Why Less is More)</w:t>
      </w:r>
    </w:p>
    <w:p w14:paraId="1B228218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 xml:space="preserve">In early iterations, having dozens of expert profiles (YouTube educators, specific course creators, niche authors) created significant context noise, prompt dilution, and conflicting advice. We performed a strict </w:t>
      </w:r>
      <w:r>
        <w:rPr>
          <w:rFonts w:ascii="Calibri" w:hAnsi="Calibri"/>
          <w:color w:val="2D3748"/>
        </w:rPr>
        <w:lastRenderedPageBreak/>
        <w:t xml:space="preserve">curation exercise, removing 7 overlapping or redundant experts (e.g., Arjan Egges, Stephane Maarek, Sam Newman, Emily Bache) and consolidating down to </w:t>
      </w:r>
    </w:p>
    <w:p w14:paraId="15E59808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>4 Industry Standard Pillars:</w:t>
      </w:r>
    </w:p>
    <w:p w14:paraId="24061F0F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1. Uncle Bob (Robert C. Martin): </w:t>
      </w:r>
      <w:r>
        <w:rPr>
          <w:rFonts w:ascii="Calibri" w:hAnsi="Calibri"/>
          <w:color w:val="2D3748"/>
        </w:rPr>
        <w:t>Author of Clean Code and SOLID principles. Consulted for domain decoupling, object-oriented design, and maintainability.</w:t>
      </w:r>
    </w:p>
    <w:p w14:paraId="19E2461D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2. Dave Farley: </w:t>
      </w:r>
      <w:r>
        <w:rPr>
          <w:rFonts w:ascii="Calibri" w:hAnsi="Calibri"/>
          <w:color w:val="2D3748"/>
        </w:rPr>
        <w:t>Author of Continuous Delivery. Consulted for Trunk-Based Development rules, pipeline automation, and deployment safety.</w:t>
      </w:r>
    </w:p>
    <w:p w14:paraId="18A87AD6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3. Kent Beck: </w:t>
      </w:r>
      <w:r>
        <w:rPr>
          <w:rFonts w:ascii="Calibri" w:hAnsi="Calibri"/>
          <w:color w:val="2D3748"/>
        </w:rPr>
        <w:t>Creator of Extreme Programming and TDD. Consulted for test isolation, refactoring strategies, and unit test design.</w:t>
      </w:r>
    </w:p>
    <w:p w14:paraId="127D3558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4. Alex Xu: </w:t>
      </w:r>
      <w:r>
        <w:rPr>
          <w:rFonts w:ascii="Calibri" w:hAnsi="Calibri"/>
          <w:color w:val="2D3748"/>
        </w:rPr>
        <w:t>Author of System Design Interview. Consulted for high-level architecture trade-offs, scaling patterns, and database selection.</w:t>
      </w:r>
    </w:p>
    <w:p w14:paraId="68741D06" w14:textId="77777777" w:rsidR="002E2E13" w:rsidRDefault="00314349">
      <w:pPr>
        <w:keepNext/>
        <w:pBdr>
          <w:bottom w:val="single" w:sz="12" w:space="4" w:color="008080"/>
        </w:pBdr>
        <w:spacing w:before="360" w:after="120"/>
      </w:pPr>
      <w:r>
        <w:rPr>
          <w:rFonts w:ascii="Calibri" w:hAnsi="Calibri"/>
          <w:b/>
          <w:color w:val="0A2540"/>
          <w:sz w:val="36"/>
        </w:rPr>
        <w:t>5. Infrastructure Security &amp; Protection Guardrails</w:t>
      </w:r>
    </w:p>
    <w:p w14:paraId="498A67E4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>Granting an autonomous AI agent access to Jira, GitHub, and AWS carries inherent operational risks. To eliminate the risk of accidental repository deletion, production downtime, or force-pushed history, the platform applies strict Principle of Least Privilege guardrails across all integrated services.</w:t>
      </w:r>
    </w:p>
    <w:p w14:paraId="5DC06134" w14:textId="77777777" w:rsidR="002E2E13" w:rsidRDefault="00314349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5.1 Jira Protection &amp; Defect Lifecycle Rules</w:t>
      </w:r>
    </w:p>
    <w:p w14:paraId="385DFDC1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Dedicated Bot User: </w:t>
      </w:r>
      <w:r>
        <w:rPr>
          <w:rFonts w:ascii="Calibri" w:hAnsi="Calibri"/>
          <w:color w:val="2D3748"/>
        </w:rPr>
        <w:t>OpenCode operates under a dedicated Jira Service User (opencode-bot@yourdomain.com) with permissions strictly restricted to Browse, Create, Edit, and Transition issues.</w:t>
      </w:r>
    </w:p>
    <w:p w14:paraId="08DCA43E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Revoked Delete Rights: </w:t>
      </w:r>
      <w:r>
        <w:rPr>
          <w:rFonts w:ascii="Calibri" w:hAnsi="Calibri"/>
          <w:color w:val="2D3748"/>
        </w:rPr>
        <w:t>In the Jira Permission Scheme, permissions for Delete Issues, Delete Comments, and Delete Attachments are explicitly REVOKED. If OpenCode attempts a DELETE call, Jira returns a 403 Forbidden status.</w:t>
      </w:r>
    </w:p>
    <w:p w14:paraId="13958ACF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Rejection Workflow: </w:t>
      </w:r>
      <w:r>
        <w:rPr>
          <w:rFonts w:ascii="Calibri" w:hAnsi="Calibri"/>
          <w:color w:val="2D3748"/>
        </w:rPr>
        <w:t>When a story is obsolete, OpenCode leaves an explanatory comment detailing the business or technical reason, applies a 'Reject' transition, and sets resolution to 'Won't Do'.</w:t>
      </w:r>
    </w:p>
    <w:p w14:paraId="6AFAE816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Defect Tracking: </w:t>
      </w:r>
      <w:r>
        <w:rPr>
          <w:rFonts w:ascii="Calibri" w:hAnsi="Calibri"/>
          <w:color w:val="2D3748"/>
        </w:rPr>
        <w:t>Defects found during PR testing are logged as Bug Sub-tasks directly under the parent User Story (blocking merge). Defects discovered in production after deployment are logged as standalone Bug Issues linked via 'caused by' for defect rate metrics.</w:t>
      </w:r>
    </w:p>
    <w:p w14:paraId="36A6795F" w14:textId="77777777" w:rsidR="002E2E13" w:rsidRDefault="00314349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5.2 GitHub Protection &amp; Fine-Grained Access Controls</w:t>
      </w:r>
    </w:p>
    <w:p w14:paraId="2B8B0236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Fine-Grained PATs: </w:t>
      </w:r>
      <w:r>
        <w:rPr>
          <w:rFonts w:ascii="Calibri" w:hAnsi="Calibri"/>
          <w:color w:val="2D3748"/>
        </w:rPr>
        <w:t>OpenCode authenticates using GitHub Fine-Grained Personal Access Tokens scoped exclusively to targeted repositories. Administration permissions (which control repo deletion and settings) are set to 'No Access'.</w:t>
      </w:r>
    </w:p>
    <w:p w14:paraId="0EE09D26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Branch Protection: </w:t>
      </w:r>
      <w:r>
        <w:rPr>
          <w:rFonts w:ascii="Calibri" w:hAnsi="Calibri"/>
          <w:color w:val="2D3748"/>
        </w:rPr>
        <w:t>Direct commits to main are blocked. Rules require mandatory Pull Requests, green status checks from GitHub Actions, and at least 1 human approval before merging.</w:t>
      </w:r>
    </w:p>
    <w:p w14:paraId="59F971E0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History Protection: </w:t>
      </w:r>
      <w:r>
        <w:rPr>
          <w:rFonts w:ascii="Calibri" w:hAnsi="Calibri"/>
          <w:color w:val="2D3748"/>
        </w:rPr>
        <w:t>Force pushes and branch deletions are permanently disabled on protected branches.</w:t>
      </w:r>
    </w:p>
    <w:p w14:paraId="51928B9F" w14:textId="77777777" w:rsidR="002E2E13" w:rsidRDefault="00314349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lastRenderedPageBreak/>
        <w:t>5.3 AWS Security &amp; Passwordless OIDC Credentials</w:t>
      </w:r>
    </w:p>
    <w:p w14:paraId="7E032627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Zero Static Credentials: </w:t>
      </w:r>
      <w:r>
        <w:rPr>
          <w:rFonts w:ascii="Calibri" w:hAnsi="Calibri"/>
          <w:color w:val="2D3748"/>
        </w:rPr>
        <w:t>No long-lived AWS Access Keys or Secret Keys are stored in GitHub Secrets or codebase repositories.</w:t>
      </w:r>
    </w:p>
    <w:p w14:paraId="59DBACBD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Short-Lived OIDC Tokens: </w:t>
      </w:r>
      <w:r>
        <w:rPr>
          <w:rFonts w:ascii="Calibri" w:hAnsi="Calibri"/>
          <w:color w:val="2D3748"/>
        </w:rPr>
        <w:t>GitHub Actions authenticates to AWS using OpenID Connect (OIDC) to assume short-lived, temporary IAM roles that expire automatically after pipeline execution.</w:t>
      </w:r>
    </w:p>
    <w:p w14:paraId="5B7EB131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Scoped IAM Roles: </w:t>
      </w:r>
      <w:r>
        <w:rPr>
          <w:rFonts w:ascii="Calibri" w:hAnsi="Calibri"/>
          <w:color w:val="2D3748"/>
        </w:rPr>
        <w:t>Production IAM roles are granted minimum required provisioning rights, with explicit deny guards on destructive operations (e.g., s3:DeleteBucket, rds:DeleteDBInstance).</w:t>
      </w:r>
    </w:p>
    <w:p w14:paraId="2660792C" w14:textId="77777777" w:rsidR="002E2E13" w:rsidRDefault="00314349">
      <w:pPr>
        <w:keepNext/>
        <w:pBdr>
          <w:bottom w:val="single" w:sz="12" w:space="4" w:color="008080"/>
        </w:pBdr>
        <w:spacing w:before="360" w:after="120"/>
      </w:pPr>
      <w:r>
        <w:rPr>
          <w:rFonts w:ascii="Calibri" w:hAnsi="Calibri"/>
          <w:b/>
          <w:color w:val="0A2540"/>
          <w:sz w:val="36"/>
        </w:rPr>
        <w:t>6. End-to-End Operational Execution Workflow</w:t>
      </w:r>
    </w:p>
    <w:p w14:paraId="5E1554B0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>The full operational sequence demonstrates how a requirement flows seamlessly from initial prompt to live AWS production:</w:t>
      </w:r>
    </w:p>
    <w:p w14:paraId="735EDD9E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Phase 1 — </w:t>
      </w:r>
      <w:r>
        <w:rPr>
          <w:rFonts w:ascii="Calibri" w:hAnsi="Calibri"/>
          <w:color w:val="2D3748"/>
        </w:rPr>
        <w:t>1. Requirements Discovery: Prompter submits feature request. @product-owner challenges solutionizing, clarifies business objectives, and ensures Story #1 is the Walking Skeleton.</w:t>
      </w:r>
    </w:p>
    <w:p w14:paraId="1968F601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Phase 2 — </w:t>
      </w:r>
      <w:r>
        <w:rPr>
          <w:rFonts w:ascii="Calibri" w:hAnsi="Calibri"/>
          <w:color w:val="2D3748"/>
        </w:rPr>
        <w:t>2. Backlog &amp; Jira Seeding: @product-owner creates INVEST stories with Gherkin BDD criteria and feature flag definitions in Jira, signaling @tech-lead.</w:t>
      </w:r>
    </w:p>
    <w:p w14:paraId="6AB244B9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Phase 3 — </w:t>
      </w:r>
      <w:r>
        <w:rPr>
          <w:rFonts w:ascii="Calibri" w:hAnsi="Calibri"/>
          <w:color w:val="2D3748"/>
        </w:rPr>
        <w:t>3. Technical Design &amp; Branching: @tech-lead creates a short-lived topic branch off main and dispatches @architecture-guardian, @db-specialist, and @devops-engineer to prepare IaC and domain models.</w:t>
      </w:r>
    </w:p>
    <w:p w14:paraId="54036E88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Phase 4 — </w:t>
      </w:r>
      <w:r>
        <w:rPr>
          <w:rFonts w:ascii="Calibri" w:hAnsi="Calibri"/>
          <w:color w:val="2D3748"/>
        </w:rPr>
        <w:t>4. Implementation &amp; Flagging: @ui-builder and core developers write solution logic, wrapping unreleased capabilities in feature flags.</w:t>
      </w:r>
    </w:p>
    <w:p w14:paraId="22B444E1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Phase 5 — </w:t>
      </w:r>
      <w:r>
        <w:rPr>
          <w:rFonts w:ascii="Calibri" w:hAnsi="Calibri"/>
          <w:color w:val="2D3748"/>
        </w:rPr>
        <w:t>5. Automated Verification: @unit-tester and @api-tester run local test suites, creating Bug Sub-tasks for any failing checks.</w:t>
      </w:r>
    </w:p>
    <w:p w14:paraId="78C32DAC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Phase 6 — </w:t>
      </w:r>
      <w:r>
        <w:rPr>
          <w:rFonts w:ascii="Calibri" w:hAnsi="Calibri"/>
          <w:color w:val="2D3748"/>
        </w:rPr>
        <w:t>6. PR, Audit &amp; Human Gate: OpenCode opens a Pull Request. @security-auditor and @code-reviewer perform static audits. Automated GitHub Actions run linters and tests. A human engineer reviews and approves the PR.</w:t>
      </w:r>
    </w:p>
    <w:p w14:paraId="72BC19B1" w14:textId="77777777" w:rsidR="002E2E13" w:rsidRDefault="00314349">
      <w:pPr>
        <w:spacing w:after="120"/>
      </w:pPr>
      <w:r>
        <w:rPr>
          <w:rFonts w:ascii="Calibri" w:hAnsi="Calibri"/>
          <w:b/>
          <w:color w:val="2D3748"/>
        </w:rPr>
        <w:t xml:space="preserve">Phase 7 — </w:t>
      </w:r>
      <w:r>
        <w:rPr>
          <w:rFonts w:ascii="Calibri" w:hAnsi="Calibri"/>
          <w:color w:val="2D3748"/>
        </w:rPr>
        <w:t>7. Continuous Deployment: PR merges to main. GitHub Actions assumes AWS IAM Role via OIDC, executes Terraform/CDK, and deploys live to production.</w:t>
      </w:r>
    </w:p>
    <w:p w14:paraId="35327F08" w14:textId="77777777" w:rsidR="002E2E13" w:rsidRDefault="00314349">
      <w:pPr>
        <w:keepNext/>
        <w:pBdr>
          <w:bottom w:val="single" w:sz="12" w:space="4" w:color="008080"/>
        </w:pBdr>
        <w:spacing w:before="360" w:after="120"/>
      </w:pPr>
      <w:r>
        <w:rPr>
          <w:rFonts w:ascii="Calibri" w:hAnsi="Calibri"/>
          <w:b/>
          <w:color w:val="0A2540"/>
          <w:sz w:val="36"/>
        </w:rPr>
        <w:t>7. How to Adapt This Blueprint to Your Organization</w:t>
      </w:r>
    </w:p>
    <w:p w14:paraId="6D4026C0" w14:textId="77777777" w:rsidR="002E2E13" w:rsidRDefault="00314349">
      <w:pPr>
        <w:spacing w:after="120"/>
      </w:pPr>
      <w:r>
        <w:rPr>
          <w:rFonts w:ascii="Calibri" w:hAnsi="Calibri"/>
          <w:color w:val="2D3748"/>
        </w:rPr>
        <w:t>Other teams looking to build a similar system in OpenCode can easily customize this blueprint by making three key adaptations:</w:t>
      </w:r>
    </w:p>
    <w:p w14:paraId="511B9394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Cloud Platform: </w:t>
      </w:r>
      <w:r>
        <w:rPr>
          <w:rFonts w:ascii="Calibri" w:hAnsi="Calibri"/>
          <w:color w:val="2D3748"/>
        </w:rPr>
        <w:t>Swap AWS OIDC roles for GCP Workload Identity Federation or Azure Managed Identities in @devops-engineer.md.</w:t>
      </w:r>
    </w:p>
    <w:p w14:paraId="29F96A1C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t xml:space="preserve">Issue Tracker: </w:t>
      </w:r>
      <w:r>
        <w:rPr>
          <w:rFonts w:ascii="Calibri" w:hAnsi="Calibri"/>
          <w:color w:val="2D3748"/>
        </w:rPr>
        <w:t>Replace Jira API configuration with GitHub Issues or Linear in @product-owner.md if your team uses a different issue tracker.</w:t>
      </w:r>
    </w:p>
    <w:p w14:paraId="606889BD" w14:textId="77777777" w:rsidR="002E2E13" w:rsidRDefault="00314349">
      <w:pPr>
        <w:pStyle w:val="ListBullet"/>
        <w:spacing w:after="60"/>
      </w:pPr>
      <w:r>
        <w:rPr>
          <w:rFonts w:ascii="Calibri" w:hAnsi="Calibri"/>
          <w:b/>
          <w:color w:val="2D3748"/>
        </w:rPr>
        <w:lastRenderedPageBreak/>
        <w:t xml:space="preserve">UI Standards: </w:t>
      </w:r>
      <w:r>
        <w:rPr>
          <w:rFonts w:ascii="Calibri" w:hAnsi="Calibri"/>
          <w:color w:val="2D3748"/>
        </w:rPr>
        <w:t>Customize @ui-builder.md to enforce your company's internal design system (e.g., Tailwind, Material UI, Salesforce Lightning) instead of GOV.UK standards.</w:t>
      </w:r>
    </w:p>
    <w:sectPr w:rsidR="002E2E1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147996">
    <w:abstractNumId w:val="8"/>
  </w:num>
  <w:num w:numId="2" w16cid:durableId="1002977196">
    <w:abstractNumId w:val="6"/>
  </w:num>
  <w:num w:numId="3" w16cid:durableId="2132749590">
    <w:abstractNumId w:val="5"/>
  </w:num>
  <w:num w:numId="4" w16cid:durableId="872109679">
    <w:abstractNumId w:val="4"/>
  </w:num>
  <w:num w:numId="5" w16cid:durableId="1217819044">
    <w:abstractNumId w:val="7"/>
  </w:num>
  <w:num w:numId="6" w16cid:durableId="576941396">
    <w:abstractNumId w:val="3"/>
  </w:num>
  <w:num w:numId="7" w16cid:durableId="698429957">
    <w:abstractNumId w:val="2"/>
  </w:num>
  <w:num w:numId="8" w16cid:durableId="1971862991">
    <w:abstractNumId w:val="1"/>
  </w:num>
  <w:num w:numId="9" w16cid:durableId="5094872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E13"/>
    <w:rsid w:val="00314349"/>
    <w:rsid w:val="00326F90"/>
    <w:rsid w:val="00953C6D"/>
    <w:rsid w:val="00AA1D8D"/>
    <w:rsid w:val="00AB02D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3801C"/>
  <w14:defaultImageDpi w14:val="300"/>
  <w15:docId w15:val="{1A7D6E33-FF28-A34F-A6B6-92099293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1515</Words>
  <Characters>9853</Characters>
  <Application>Microsoft Office Word</Application>
  <DocSecurity>0</DocSecurity>
  <Lines>252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Gonzalez</cp:lastModifiedBy>
  <cp:revision>2</cp:revision>
  <dcterms:created xsi:type="dcterms:W3CDTF">2026-07-25T16:51:00Z</dcterms:created>
  <dcterms:modified xsi:type="dcterms:W3CDTF">2026-07-25T16:51:00Z</dcterms:modified>
  <cp:category/>
</cp:coreProperties>
</file>