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Game Robot Arm</w:t>
      </w:r>
    </w:p>
    <w:p>
      <w:pPr>
        <w:pStyle w:val="Subtitle"/>
      </w:pPr>
      <w:r>
        <w:t>Milestone One Specification</w:t>
      </w:r>
    </w:p>
    <w:p>
      <w:r>
        <w:t>Version 0.1  |  10 October 2026  |  Proposed requirements for club review</w:t>
      </w:r>
    </w:p>
    <w:p>
      <w:r>
        <w:t>This milestone establishes a reusable card pickup skill: a vision-language-action policy controls a simulated robot arm with a suction tool to approach, attach to, lift, and hold an isolated playing card in MuJoCo. Completion requires repeatable evaluation and a setup another club member can reproduce.</w:t>
      </w:r>
    </w:p>
    <w:p>
      <w:r>
        <w:t>All numerical targets in this document are proposed engineering requirements, not predictions of achievable performance. The robot, compute resources, project owners, and delivery date remain open decisions.</w:t>
      </w:r>
    </w:p>
    <w:p>
      <w:pPr>
        <w:pStyle w:val="Heading1"/>
      </w:pPr>
      <w:r>
        <w:t>1 Project objective and milestone outcome</w:t>
      </w:r>
    </w:p>
    <w:p>
      <w:r>
        <w:t>The long-term objective is to execute moves in multiple tabletop games. A foundation model interprets game state and requests manipulation skills; a VLA policy executes them through a specialized end effector. Arbitrary board games remains a research goal. Each milestone declares the components, actions, and conditions it supports.</w:t>
      </w:r>
    </w:p>
    <w:p>
      <w:r>
        <w:t>Given the instruction “Pick up the face-down card,” the learned policy must approach the card, align the cup with its exposed back, establish contact, activate suction, lift clear of the tabletop, and hold steadily. Policy outputs must control both arm motion and suction. Scripted-controller results are reported separately.</w:t>
      </w:r>
    </w:p>
    <w:p>
      <w:pPr>
        <w:pStyle w:val="Heading1"/>
      </w:pPr>
      <w:r>
        <w:t>2 Scope and assumptions</w:t>
      </w:r>
    </w:p>
    <w:tbl>
      <w:tblPr>
        <w:tblW w:type="auto" w:w="0"/>
        <w:jc w:val="center"/>
        <w:tblLayout w:type="fixed"/>
        <w:tblLook w:firstColumn="1" w:firstRow="1" w:lastColumn="0" w:lastRow="0" w:noHBand="0" w:noVBand="1" w:val="04A0"/>
      </w:tblPr>
      <w:tblGrid>
        <w:gridCol w:w="4608"/>
        <w:gridCol w:w="5472"/>
      </w:tblGrid>
      <w:tr>
        <w:trPr>
          <w:tblHeade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EF4"/>
          </w:tcPr>
          <w:p>
            <w:pPr>
              <w:spacing w:after="40" w:before="40"/>
            </w:pPr>
            <w:r>
              <w:rPr>
                <w:b/>
                <w:sz w:val="21"/>
              </w:rPr>
              <w:t>Required</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EF4"/>
          </w:tcPr>
          <w:p>
            <w:pPr>
              <w:spacing w:after="40" w:before="40"/>
            </w:pPr>
            <w:r>
              <w:rPr>
                <w:b/>
                <w:sz w:val="21"/>
              </w:rPr>
              <w:t>Deferred or optional</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One simulated arm and suction cup</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Physical robot deployment</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One isolated face-down card</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Deck separation, overlap, and clutter</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Randomized position and yaw</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Card rank and suit recognition</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RGB observations and robot state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Game rules and foundation-model orchestration</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Learned approach, attachment, lift, hold</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Placement, flipping, dealing, and shuffling</w:t>
            </w:r>
          </w:p>
        </w:tc>
      </w:tr>
    </w:tbl>
    <w:p>
      <w:pPr>
        <w:spacing w:after="0"/>
      </w:pPr>
    </w:p>
    <w:p>
      <w:r>
        <w:t>Assume a flat table, stationary robot base, accessible card back, and a reachable pickup region. Initially model the card as a thin rigid body. This cannot establish performance on bending, peeling, or separation between stacked cards.</w:t>
      </w:r>
    </w:p>
    <w:p>
      <w:r>
        <w:br w:type="page"/>
      </w:r>
    </w:p>
    <w:p>
      <w:pPr>
        <w:pStyle w:val="Heading1"/>
      </w:pPr>
      <w:r>
        <w:t>3 Architecture and simulation</w:t>
      </w:r>
    </w:p>
    <w:p>
      <w:r>
        <w:t>Keep five independently testable components: the MuJoCo scene and suction approximation; a bounded robot controller; an observation and action adapter; a demonstration and training pipeline; and an evaluation runner that resets scenes, scores outcomes, and saves diagnostics.</w:t>
      </w:r>
    </w:p>
    <w:p>
      <w:r>
        <w:t>Reserve a future task interface with skill, instruction, and timeout fields, for example pick_card, “Pick up the face-down card,” and 20 seconds. Return success or a failure reason such as no_attachment or dropped. Keep the foundation model outside the control loop for this milestone.</w:t>
      </w:r>
    </w:p>
    <w:p>
      <w:r>
        <w:t>Choose one arm before data collection, preferably the intended hardware arm. Record joint limits, controller settings, cup pose and diameter, collision geometry, card dimensions and mass, friction, camera calibration and resolution, physics timestep, control frequency, and policy execution schedule.</w:t>
      </w:r>
    </w:p>
    <w:p>
      <w:r>
        <w:t>Use an external camera and optionally a wrist camera. The learned policy may observe RGB, robot proprioception, and a documented attachment sensor if equivalent hardware sensing is planned. Exact card pose is available only to the scripted demonstrator and evaluator; it must not leak through observations or controller shortcuts.</w:t>
      </w:r>
    </w:p>
    <w:p>
      <w:r>
        <w:t>Thin-object contacts must be stable, without tunneling, unexplained floating, or excessive penetration. Disclose artificial card thickness used for debugging and evaluate that configuration separately.</w:t>
      </w:r>
    </w:p>
    <w:p>
      <w:pPr>
        <w:pStyle w:val="Heading1"/>
      </w:pPr>
      <w:r>
        <w:t>4 Suction behavior and simulator validity</w:t>
      </w:r>
    </w:p>
    <w:p>
      <w:r>
        <w:t>MuJoCo provides an adhesion actuator that applies normal forces at contacts involving its target body. It supplies an approximation, not an airtight-seal model. Isolate the cup contact geometry so adhesion does not act through other tool surfaces. [2]</w:t>
      </w:r>
    </w:p>
    <w:p>
      <w:r>
        <w:t>Implement the states off, attempting attachment, attached, and released or failed. Attachment requires suction on, contact with the exposed surface, cup footprint sufficiently inside the card, sufficiently aligned surface normals, low relative motion, and a brief contact dwell. Make all tolerances configurable and record them with each experiment.</w:t>
      </w:r>
    </w:p>
    <w:p>
      <w:r>
        <w:t>Permit attachment to any physically eligible card rather than granting it based on the evaluator’s target identity. Specify finite holding strength, release behavior, and attachment-loss conditions. Validate these with scripted motions before learning experiments.</w:t>
      </w:r>
    </w:p>
    <w:p>
      <w:r>
        <w:t>A conditional weld may be used for early debugging. Preserve the relative pose at attachment, prevent snapping from a distance, and implement explicit break conditions. Results under this model establish performance under an attachment approximation, not realistic vacuum pickup.</w:t>
      </w:r>
    </w:p>
    <w:p>
      <w:pPr>
        <w:pStyle w:val="ListBullet"/>
      </w:pPr>
      <w:r>
        <w:t>Positive checks: aligned contact attaches; a gentle lift holds; switching suction off releases.</w:t>
      </w:r>
    </w:p>
    <w:p>
      <w:pPr>
        <w:pStyle w:val="ListBullet"/>
      </w:pPr>
      <w:r>
        <w:t>Negative checks: suction without eligible contact does not attach; an edge or misaligned contact fails; exceeding configured holding limits causes release.</w:t>
      </w:r>
    </w:p>
    <w:p>
      <w:r>
        <w:br w:type="page"/>
      </w:r>
    </w:p>
    <w:p>
      <w:pPr>
        <w:pStyle w:val="Heading1"/>
      </w:pPr>
      <w:r>
        <w:t>5 Policy integration and control</w:t>
      </w:r>
    </w:p>
    <w:p>
      <w:r>
        <w:t>Use π0.5 through OpenPI as the initial candidate and pin the implementation revision, checkpoint, and dependencies. Existing checkpoints do not guarantee success with a custom arm or suction tool; zero-shot performance is an experiment, and adaptation is planned. [1]</w:t>
      </w:r>
    </w:p>
    <w:p>
      <w:r>
        <w:t>Before training, document the observation and action contract: camera views and preprocessing; robot-state encoding and normalization; joint or Cartesian actions; absolute or incremental commands; coordinate frames and units; action chunk length; execution frequency; and suction encoding. Do not assume a gripper output can control suction without suitable data and adaptation.</w:t>
      </w:r>
    </w:p>
    <w:p>
      <w:r>
        <w:t>Run a compatibility test before committing to the pipeline: load the checkpoint, process a simulator observation, produce actions, and execute a bounded rollout. Implement joint, workspace, velocity, and command-validity limits. Log interventions so controller corrections cannot hide invalid policy outputs.</w:t>
      </w:r>
    </w:p>
    <w:p>
      <w:pPr>
        <w:pStyle w:val="Heading1"/>
      </w:pPr>
      <w:r>
        <w:t>6 Demonstrations and training</w:t>
      </w:r>
    </w:p>
    <w:p>
      <w:r>
        <w:t>First build a scripted controller with access to card pose. It must reliably approach, contact, attach, lift, and hold across the declared scene distribution. Use it to validate the simulator and to generate demonstrations; teleoperation or a mix of methods is also acceptable.</w:t>
      </w:r>
    </w:p>
    <w:p>
      <w:r>
        <w:t>Start with 200–500 successful trajectories as an experiment, expanding according to validation results. This is an initial collection budget, not a promise that the dataset will suffice. Include corrections or retries if recovery behavior is intended.</w:t>
      </w:r>
    </w:p>
    <w:p>
      <w:pPr>
        <w:pStyle w:val="ListBullet"/>
      </w:pPr>
      <w:r>
        <w:t>Record synchronized images, robot observations, actions, and task instructions.</w:t>
      </w:r>
    </w:p>
    <w:p>
      <w:pPr>
        <w:pStyle w:val="ListBullet"/>
      </w:pPr>
      <w:r>
        <w:t>Record suction commands, attachment sensor state, episode outcome, random seed, and simulator configuration.</w:t>
      </w:r>
    </w:p>
    <w:p>
      <w:pPr>
        <w:pStyle w:val="ListBullet"/>
      </w:pPr>
      <w:r>
        <w:t>Vary card position and yaw, robot starting pose, and moderate visual conditions.</w:t>
      </w:r>
    </w:p>
    <w:p>
      <w:pPr>
        <w:pStyle w:val="ListBullet"/>
      </w:pPr>
      <w:r>
        <w:t>Split by whole episode and scene configuration; compute normalization statistics from training data only.</w:t>
      </w:r>
    </w:p>
    <w:p>
      <w:pPr>
        <w:pStyle w:val="ListBullet"/>
      </w:pPr>
      <w:r>
        <w:t>Choose checkpoints using validation rollouts and reserve the final test scenes.</w:t>
      </w:r>
    </w:p>
    <w:p>
      <w:r>
        <w:t>OpenPI provides custom dataset conversion, observation/action transforms, and fine-tuning examples. Its documented memory estimates exceed 8 GB for inference, 22.5 GB for LoRA fine-tuning, and 70 GB for full fine-tuning. Verify the selected configuration fits the available GPU and measure actual memory use. [1]</w:t>
      </w:r>
    </w:p>
    <w:p>
      <w:r>
        <w:t>The current OpenPI README lists LoRA training as unsupported in its PyTorch implementation. Use a supported backend if choosing LoRA, and record the exact training configuration, dataset version, normalization statistics, and checkpoint-selection rule. [1]</w:t>
      </w:r>
    </w:p>
    <w:p>
      <w:r>
        <w:br w:type="page"/>
      </w:r>
    </w:p>
    <w:p>
      <w:pPr>
        <w:pStyle w:val="Heading1"/>
      </w:pPr>
      <w:r>
        <w:t>7 Acceptance criteria and evaluation</w:t>
      </w:r>
    </w:p>
    <w:p>
      <w:r>
        <w:t>Freeze the scene distribution, trial seeds, and scoring rules before the final test. Use 100 randomized trials for the scripted baseline and 100 held-out trials for the learned policy. Final test seeds and configurations must be excluded from demonstration collection and checkpoint selection.</w:t>
      </w:r>
    </w:p>
    <w:tbl>
      <w:tblPr>
        <w:tblW w:type="auto" w:w="0"/>
        <w:jc w:val="center"/>
        <w:tblLayout w:type="fixed"/>
        <w:tblLook w:firstColumn="1" w:firstRow="1" w:lastColumn="0" w:lastRow="0" w:noHBand="0" w:noVBand="1" w:val="04A0"/>
      </w:tblPr>
      <w:tblGrid>
        <w:gridCol w:w="2952"/>
        <w:gridCol w:w="7128"/>
      </w:tblGrid>
      <w:tr>
        <w:trPr>
          <w:tblHeade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EF4"/>
          </w:tcPr>
          <w:p>
            <w:pPr>
              <w:spacing w:after="40" w:before="40"/>
            </w:pPr>
            <w:r>
              <w:rPr>
                <w:b/>
                <w:sz w:val="21"/>
              </w:rPr>
              <w:t>Measure</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EF4"/>
          </w:tcPr>
          <w:p>
            <w:pPr>
              <w:spacing w:after="40" w:before="40"/>
            </w:pPr>
            <w:r>
              <w:rPr>
                <w:b/>
                <w:sz w:val="21"/>
              </w:rPr>
              <w:t>Proposed requirement</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Scripted baseline</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At least 95 successes in 100 trials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Learned policy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At least 90 successes in 100 held-out trials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Lift clearance</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Card’s lowest point at least 50 mm above tabletop</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Hold duration</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Maintain clearance continuously for 2 seconds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Episode limit</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Complete within 20 simulated seconds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Human assistance</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None during scored episodes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Invalid outcomes</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Drops, invalid attachments, and numerical failures count as failures</w:t>
            </w:r>
          </w:p>
        </w:tc>
      </w:tr>
    </w:tbl>
    <w:p>
      <w:pPr>
        <w:spacing w:after="0"/>
      </w:pPr>
    </w:p>
    <w:p>
      <w:r>
        <w:t>A successful trial requires a valid attachment followed by the specified lift and continuous hold before timeout. Reaching the height briefly or lifting through an invalid attachment does not count. The evaluator may use simulator ground truth to score clearance and attachment validity.</w:t>
      </w:r>
    </w:p>
    <w:p>
      <w:r>
        <w:t>Randomize positions and rotations across the declared reachable region. Record the reset distribution, including workspace boundaries, pose ranges, robot start conditions, appearance variations, and suction parameters. Report performance by region so an aggregate score cannot hide systematic failures near workspace limits.</w:t>
      </w:r>
    </w:p>
    <w:p>
      <w:pPr>
        <w:pStyle w:val="Heading1"/>
      </w:pPr>
      <w:r>
        <w:t>Required result reporting</w:t>
      </w:r>
    </w:p>
    <w:p>
      <w:pPr>
        <w:pStyle w:val="ListBullet"/>
      </w:pPr>
      <w:r>
        <w:t>Exact success counts and a stated binomial confidence-interval method.</w:t>
      </w:r>
    </w:p>
    <w:p>
      <w:pPr>
        <w:pStyle w:val="ListBullet"/>
      </w:pPr>
      <w:r>
        <w:t>Failures categorized as approach/alignment, no attachment, drop, timeout, invalid command, or simulator failure.</w:t>
      </w:r>
    </w:p>
    <w:p>
      <w:pPr>
        <w:pStyle w:val="ListBullet"/>
      </w:pPr>
      <w:r>
        <w:t>Lift and hold performance, completion times, and controller-limit interventions.</w:t>
      </w:r>
    </w:p>
    <w:p>
      <w:pPr>
        <w:pStyle w:val="ListBullet"/>
      </w:pPr>
      <w:r>
        <w:t>Wall-clock inference latency, simulation speed, and whether simulation pauses during inference.</w:t>
      </w:r>
    </w:p>
    <w:p>
      <w:pPr>
        <w:pStyle w:val="ListBullet"/>
      </w:pPr>
      <w:r>
        <w:t>Representative successes and failures, with reproducible seeds and configuration.</w:t>
      </w:r>
    </w:p>
    <w:p>
      <w:r>
        <w:t>Paused or slowed simulation success does not establish real-time readiness. Report this separately from manipulation success. The single-object task demonstrates manipulation under a fixed instruction; language-based target selection requires a later multi-object test.</w:t>
      </w:r>
    </w:p>
    <w:p>
      <w:r>
        <w:br w:type="page"/>
      </w:r>
    </w:p>
    <w:p>
      <w:pPr>
        <w:pStyle w:val="Heading1"/>
      </w:pPr>
      <w:r>
        <w:t>8 Work packages and completion gates</w:t>
      </w:r>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EF4"/>
          </w:tcPr>
          <w:p>
            <w:pPr>
              <w:spacing w:after="40" w:before="40"/>
            </w:pPr>
            <w:r>
              <w:rPr>
                <w:b/>
                <w:sz w:val="21"/>
              </w:rPr>
              <w:t>Work package</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EF4"/>
          </w:tcPr>
          <w:p>
            <w:pPr>
              <w:spacing w:after="40" w:before="40"/>
            </w:pPr>
            <w:r>
              <w:rPr>
                <w:b/>
                <w:sz w:val="21"/>
              </w:rPr>
              <w:t>Completion gate</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Robot and policy feasibility</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Robot, checkpoint, action contract, and measured compute fit</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Simulator and suction</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Stable contacts and positive/negative attachment checks</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Scripted baseline</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Baseline acceptance target met</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Demonstration pipeline</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Validated recordings, fixed splits, reproducible conversion</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Policy adaptation</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21"/>
              </w:rPr>
              <w:t>Successful closed-loop validation rollouts</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Final evaluation</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8"/>
          </w:tcPr>
          <w:p>
            <w:pPr>
              <w:spacing w:after="40" w:before="40"/>
            </w:pPr>
            <w:r>
              <w:rPr>
                <w:b w:val="0"/>
                <w:sz w:val="21"/>
              </w:rPr>
              <w:t>Frozen test suite, results, failure analysis, and demo recording</w:t>
            </w:r>
          </w:p>
        </w:tc>
      </w:tr>
    </w:tbl>
    <w:p>
      <w:pPr>
        <w:spacing w:after="0"/>
      </w:pPr>
    </w:p>
    <w:p>
      <w:r>
        <w:t>Assign an owner to each work package after confirming club size and availability. The feasibility and simulator gates precede collection; the final evaluation follows checkpoint selection. Set dates after the robot and compute choices are resolved.</w:t>
      </w:r>
    </w:p>
    <w:p>
      <w:pPr>
        <w:pStyle w:val="Heading1"/>
      </w:pPr>
      <w:r>
        <w:t>9 Deliverables and risks</w:t>
      </w:r>
    </w:p>
    <w:p>
      <w:r>
        <w:t>Completion requires simulator assets, the trained checkpoint and adapter, a dataset manifest, setup instructions, a reproducible evaluation command, results and failure analysis, and a demonstration recording. Another club member must be able to reproduce the evaluation from the documented environment.</w:t>
      </w:r>
    </w:p>
    <w:p>
      <w:r>
        <w:t>The largest risks are an attachment model that makes pickup unrealistically easy and a policy that fails to adapt to the new tool. Validate suction independently, establish a strong scripted baseline, and test policy compatibility early. If only the scripted controller passes, simulator validation is complete but the learned-policy milestone is not.</w:t>
      </w:r>
    </w:p>
    <w:p>
      <w:r>
        <w:t>Later milestones should add isolated-card placement, target selection among distractors, separation of one card from a stack, hardware transfer, one game’s perception and legal moves, then additional game components and skills.</w:t>
      </w:r>
    </w:p>
    <w:p>
      <w:pPr>
        <w:pStyle w:val="Heading1"/>
      </w:pPr>
      <w:r>
        <w:t>10 Open decisions</w:t>
      </w:r>
    </w:p>
    <w:p>
      <w:pPr>
        <w:pStyle w:val="ListBullet"/>
      </w:pPr>
      <w:r>
        <w:t>Which arm is intended for simulation and eventual hardware?</w:t>
      </w:r>
    </w:p>
    <w:p>
      <w:pPr>
        <w:pStyle w:val="ListBullet"/>
      </w:pPr>
      <w:r>
        <w:t>What GPU access and training budget are available?</w:t>
      </w:r>
    </w:p>
    <w:p>
      <w:pPr>
        <w:pStyle w:val="ListBullet"/>
      </w:pPr>
      <w:r>
        <w:t>Is isolated-card pickup acceptable, or is deck separation required?</w:t>
      </w:r>
    </w:p>
    <w:p>
      <w:pPr>
        <w:pStyle w:val="ListBullet"/>
      </w:pPr>
      <w:r>
        <w:t>How many club members are available, and what is the target deadline?</w:t>
      </w:r>
    </w:p>
    <w:p>
      <w:pPr>
        <w:pStyle w:val="ListBullet"/>
      </w:pPr>
      <w:r>
        <w:t>Which cup design and attachment sensing will the hardware use?</w:t>
      </w:r>
    </w:p>
    <w:p>
      <w:pPr>
        <w:pStyle w:val="Heading1"/>
      </w:pPr>
      <w:r>
        <w:t>Sources</w:t>
      </w:r>
    </w:p>
    <w:p>
      <w:r>
        <w:t>[1] Physical Intelligence. OpenPI repository and README. Checked 10 October 2026. https://github.com/Physical-Intelligence/openpi</w:t>
      </w:r>
    </w:p>
    <w:p>
      <w:r>
        <w:t>[2] MuJoCo documentation. XML Reference, actuator adhesion. Checked 10 October 2026. https://mujoco.readthedocs.io/en/stable/XMLreference.html#actuator-adhesion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Game Robot Arm Milestone One Specification</dc:title>
  <dc:subject>Simulated playing card pickup using a suction tool and VLA policy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