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500"/>
        <w:jc w:val="center"/>
      </w:pPr>
      <w:r>
        <w:rPr>
          <w:b/>
          <w:color w:val="2F5496"/>
          <w:sz w:val="24"/>
        </w:rPr>
        <w:t>MATCHCORNER</w:t>
      </w:r>
    </w:p>
    <w:p>
      <w:pPr>
        <w:pStyle w:val="Title"/>
        <w:jc w:val="center"/>
      </w:pPr>
      <w:r>
        <w:t>Betway Nigeria Booking-Code Integration</w:t>
      </w:r>
    </w:p>
    <w:p>
      <w:pPr>
        <w:jc w:val="center"/>
      </w:pPr>
      <w:r>
        <w:rPr>
          <w:b/>
          <w:color w:val="5F6368"/>
          <w:sz w:val="28"/>
        </w:rPr>
        <w:t>Investigation, API Contract Discovery &amp; Verification Log</w:t>
      </w:r>
    </w:p>
    <w:p>
      <w:pPr>
        <w:spacing w:before="160"/>
        <w:jc w:val="center"/>
      </w:pPr>
      <w:r>
        <w:rPr>
          <w:b/>
        </w:rPr>
        <w:t>Technical assessment progress documentation</w:t>
        <w:br/>
      </w:r>
      <w:r>
        <w:t>Prepared: 18 August 2026</w:t>
        <w:br/>
      </w:r>
      <w:r>
        <w:t>Status: Operator integration discovery complete; application implementation in progress</w:t>
      </w:r>
    </w:p>
    <w:p/>
    <w:tbl>
      <w:tblPr>
        <w:tblW w:type="auto" w:w="0"/>
        <w:jc w:val="center"/>
        <w:tblLayout w:type="autofit"/>
        <w:tblLook w:firstColumn="1" w:firstRow="1" w:lastColumn="0" w:lastRow="0" w:noHBand="0" w:noVBand="1" w:val="04A0"/>
      </w:tblPr>
      <w:tblGrid>
        <w:gridCol w:w="10080"/>
      </w:tblGrid>
      <w:tr>
        <w:tc>
          <w:tcPr>
            <w:tcW w:type="dxa" w:w="10080"/>
            <w:shd w:fill="EAF6EF"/>
            <w:tcMar>
              <w:top w:w="110" w:type="dxa"/>
              <w:start w:w="120" w:type="dxa"/>
              <w:bottom w:w="110" w:type="dxa"/>
              <w:end w:w="120" w:type="dxa"/>
            </w:tcMar>
          </w:tcPr>
          <w:p>
            <w:r>
              <w:rPr>
                <w:b/>
                <w:color w:val="24794C"/>
                <w:sz w:val="20"/>
              </w:rPr>
              <w:t>Current milestone: PASS</w:t>
            </w:r>
            <w:r>
              <w:br/>
              <w:t>Decode, Encode and Convert have been validated against Betway Nigeria. A newly generated booking code was decoded with full selection parity and then loaded successfully in Betway's own UI.</w:t>
            </w:r>
          </w:p>
        </w:tc>
      </w:tr>
    </w:tbl>
    <w:p>
      <w:pPr>
        <w:spacing w:after="0"/>
      </w:pPr>
    </w:p>
    <w:p>
      <w:pPr>
        <w:spacing w:before="120"/>
        <w:jc w:val="center"/>
      </w:pPr>
      <w:r>
        <w:rPr>
          <w:b/>
          <w:color w:val="24794C"/>
          <w:sz w:val="24"/>
        </w:rPr>
        <w:t>Verified generated code: BW69DC9F6B</w:t>
      </w:r>
    </w:p>
    <w:p>
      <w:r>
        <w:br w:type="page"/>
      </w:r>
    </w:p>
    <w:p>
      <w:pPr>
        <w:pStyle w:val="Heading1"/>
      </w:pPr>
      <w:r>
        <w:t>1. Purpose and Scope</w:t>
      </w:r>
    </w:p>
    <w:p>
      <w:r>
        <w:t>This document records the technical investigation completed for the Betway Nigeria booking-code portion of the MatchCorner assessment. It is intended to preserve the reasoning, discovered contracts, test evidence, edge cases and implementation decisions so the workflow can be reviewed alongside the source code and Git history.</w:t>
      </w:r>
    </w:p>
    <w:p>
      <w:pPr>
        <w:pStyle w:val="ListBullet"/>
        <w:spacing w:after="40"/>
      </w:pPr>
      <w:r>
        <w:t>Decode: accept a Betway booking code and return a normalized betslip.</w:t>
      </w:r>
    </w:p>
    <w:p>
      <w:pPr>
        <w:pStyle w:val="ListBullet"/>
        <w:spacing w:after="40"/>
      </w:pPr>
      <w:r>
        <w:t>Encode: accept selections and obtain a new Betway booking code.</w:t>
      </w:r>
    </w:p>
    <w:p>
      <w:pPr>
        <w:pStyle w:val="ListBullet"/>
        <w:spacing w:after="40"/>
      </w:pPr>
      <w:r>
        <w:t>Convert: decode an existing code, recreate the same selections, generate a new code and verify semantic parity.</w:t>
      </w:r>
    </w:p>
    <w:p>
      <w:pPr>
        <w:pStyle w:val="ListBullet"/>
        <w:spacing w:after="40"/>
      </w:pPr>
      <w:r>
        <w:t>Proof: confirm the generated code through Betway's own API and Betway's own user interface.</w:t>
      </w:r>
    </w:p>
    <w:p>
      <w:pPr>
        <w:pStyle w:val="ListBullet"/>
        <w:spacing w:after="40"/>
      </w:pPr>
      <w:r>
        <w:t>Safety: do not commit browser cookies, authorization data, account identifiers or raw private responses.</w:t>
      </w:r>
    </w:p>
    <w:p>
      <w:pPr>
        <w:pStyle w:val="Heading1"/>
      </w:pPr>
      <w:r>
        <w:t>2. Current Status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tcMar>
              <w:top w:w="55" w:type="dxa"/>
              <w:start w:w="70" w:type="dxa"/>
              <w:bottom w:w="55" w:type="dxa"/>
              <w:end w:w="70" w:type="dxa"/>
            </w:tcMar>
            <w:shd w:fill="DCE6F1"/>
          </w:tcPr>
          <w:p>
            <w:pPr>
              <w:spacing w:after="0" w:before="0"/>
            </w:pPr>
            <w:r>
              <w:rPr>
                <w:b/>
                <w:color w:val="1F3654"/>
                <w:sz w:val="16"/>
              </w:rPr>
              <w:t>Area</w:t>
            </w:r>
          </w:p>
        </w:tc>
        <w:tc>
          <w:tcPr>
            <w:tcW w:type="dxa" w:w="3360"/>
            <w:vAlign w:val="center"/>
            <w:tcMar>
              <w:top w:w="55" w:type="dxa"/>
              <w:start w:w="70" w:type="dxa"/>
              <w:bottom w:w="55" w:type="dxa"/>
              <w:end w:w="70" w:type="dxa"/>
            </w:tcMar>
            <w:shd w:fill="DCE6F1"/>
          </w:tcPr>
          <w:p>
            <w:pPr>
              <w:spacing w:after="0" w:before="0"/>
            </w:pPr>
            <w:r>
              <w:rPr>
                <w:b/>
                <w:color w:val="1F3654"/>
                <w:sz w:val="16"/>
              </w:rPr>
              <w:t>Status</w:t>
            </w:r>
          </w:p>
        </w:tc>
        <w:tc>
          <w:tcPr>
            <w:tcW w:type="dxa" w:w="3360"/>
            <w:vAlign w:val="center"/>
            <w:tcMar>
              <w:top w:w="55" w:type="dxa"/>
              <w:start w:w="70" w:type="dxa"/>
              <w:bottom w:w="55" w:type="dxa"/>
              <w:end w:w="70" w:type="dxa"/>
            </w:tcMar>
            <w:shd w:fill="DCE6F1"/>
          </w:tcPr>
          <w:p>
            <w:pPr>
              <w:spacing w:after="0" w:before="0"/>
            </w:pPr>
            <w:r>
              <w:rPr>
                <w:b/>
                <w:color w:val="1F3654"/>
                <w:sz w:val="16"/>
              </w:rPr>
              <w:t>Evidence</w:t>
            </w:r>
          </w:p>
        </w:tc>
      </w:tr>
      <w:tr>
        <w:tc>
          <w:tcPr>
            <w:tcW w:type="dxa" w:w="3360"/>
            <w:vAlign w:val="center"/>
            <w:tcMar>
              <w:top w:w="55" w:type="dxa"/>
              <w:start w:w="70" w:type="dxa"/>
              <w:bottom w:w="55" w:type="dxa"/>
              <w:end w:w="70" w:type="dxa"/>
            </w:tcMar>
          </w:tcPr>
          <w:p>
            <w:pPr>
              <w:spacing w:after="0" w:before="0"/>
            </w:pPr>
            <w:r>
              <w:rPr>
                <w:sz w:val="16"/>
              </w:rPr>
              <w:t>Decode contract</w:t>
            </w:r>
          </w:p>
        </w:tc>
        <w:tc>
          <w:tcPr>
            <w:tcW w:type="dxa" w:w="3360"/>
            <w:vAlign w:val="center"/>
            <w:tcMar>
              <w:top w:w="55" w:type="dxa"/>
              <w:start w:w="70" w:type="dxa"/>
              <w:bottom w:w="55" w:type="dxa"/>
              <w:end w:w="70" w:type="dxa"/>
            </w:tcMar>
          </w:tcPr>
          <w:p>
            <w:pPr>
              <w:spacing w:after="0" w:before="0"/>
            </w:pPr>
            <w:r>
              <w:rPr>
                <w:sz w:val="16"/>
              </w:rPr>
              <w:t>Complete</w:t>
            </w:r>
          </w:p>
        </w:tc>
        <w:tc>
          <w:tcPr>
            <w:tcW w:type="dxa" w:w="3360"/>
            <w:vAlign w:val="center"/>
            <w:tcMar>
              <w:top w:w="55" w:type="dxa"/>
              <w:start w:w="70" w:type="dxa"/>
              <w:bottom w:w="55" w:type="dxa"/>
              <w:end w:w="70" w:type="dxa"/>
            </w:tcMar>
          </w:tcPr>
          <w:p>
            <w:pPr>
              <w:spacing w:after="0" w:before="0"/>
            </w:pPr>
            <w:r>
              <w:rPr>
                <w:sz w:val="16"/>
              </w:rPr>
              <w:t>FindBookABet request + full response captured</w:t>
            </w:r>
          </w:p>
        </w:tc>
      </w:tr>
      <w:tr>
        <w:tc>
          <w:tcPr>
            <w:tcW w:type="dxa" w:w="3360"/>
            <w:vAlign w:val="center"/>
            <w:tcMar>
              <w:top w:w="55" w:type="dxa"/>
              <w:start w:w="70" w:type="dxa"/>
              <w:bottom w:w="55" w:type="dxa"/>
              <w:end w:w="70" w:type="dxa"/>
            </w:tcMar>
          </w:tcPr>
          <w:p>
            <w:pPr>
              <w:spacing w:after="0" w:before="0"/>
            </w:pPr>
            <w:r>
              <w:rPr>
                <w:sz w:val="16"/>
              </w:rPr>
              <w:t>Encode contract</w:t>
            </w:r>
          </w:p>
        </w:tc>
        <w:tc>
          <w:tcPr>
            <w:tcW w:type="dxa" w:w="3360"/>
            <w:vAlign w:val="center"/>
            <w:tcMar>
              <w:top w:w="55" w:type="dxa"/>
              <w:start w:w="70" w:type="dxa"/>
              <w:bottom w:w="55" w:type="dxa"/>
              <w:end w:w="70" w:type="dxa"/>
            </w:tcMar>
          </w:tcPr>
          <w:p>
            <w:pPr>
              <w:spacing w:after="0" w:before="0"/>
            </w:pPr>
            <w:r>
              <w:rPr>
                <w:sz w:val="16"/>
              </w:rPr>
              <w:t>Complete</w:t>
            </w:r>
          </w:p>
        </w:tc>
        <w:tc>
          <w:tcPr>
            <w:tcW w:type="dxa" w:w="3360"/>
            <w:vAlign w:val="center"/>
            <w:tcMar>
              <w:top w:w="55" w:type="dxa"/>
              <w:start w:w="70" w:type="dxa"/>
              <w:bottom w:w="55" w:type="dxa"/>
              <w:end w:w="70" w:type="dxa"/>
            </w:tcMar>
          </w:tcPr>
          <w:p>
            <w:pPr>
              <w:spacing w:after="0" w:before="0"/>
            </w:pPr>
            <w:r>
              <w:rPr>
                <w:sz w:val="16"/>
              </w:rPr>
              <w:t>BookABet identified in frontend bundle and called successfully</w:t>
            </w:r>
          </w:p>
        </w:tc>
      </w:tr>
      <w:tr>
        <w:tc>
          <w:tcPr>
            <w:tcW w:type="dxa" w:w="3360"/>
            <w:vAlign w:val="center"/>
            <w:tcMar>
              <w:top w:w="55" w:type="dxa"/>
              <w:start w:w="70" w:type="dxa"/>
              <w:bottom w:w="55" w:type="dxa"/>
              <w:end w:w="70" w:type="dxa"/>
            </w:tcMar>
          </w:tcPr>
          <w:p>
            <w:pPr>
              <w:spacing w:after="0" w:before="0"/>
            </w:pPr>
            <w:r>
              <w:rPr>
                <w:sz w:val="16"/>
              </w:rPr>
              <w:t>Convert flow</w:t>
            </w:r>
          </w:p>
        </w:tc>
        <w:tc>
          <w:tcPr>
            <w:tcW w:type="dxa" w:w="3360"/>
            <w:vAlign w:val="center"/>
            <w:tcMar>
              <w:top w:w="55" w:type="dxa"/>
              <w:start w:w="70" w:type="dxa"/>
              <w:bottom w:w="55" w:type="dxa"/>
              <w:end w:w="70" w:type="dxa"/>
            </w:tcMar>
          </w:tcPr>
          <w:p>
            <w:pPr>
              <w:spacing w:after="0" w:before="0"/>
            </w:pPr>
            <w:r>
              <w:rPr>
                <w:sz w:val="16"/>
              </w:rPr>
              <w:t>Complete</w:t>
            </w:r>
          </w:p>
        </w:tc>
        <w:tc>
          <w:tcPr>
            <w:tcW w:type="dxa" w:w="3360"/>
            <w:vAlign w:val="center"/>
            <w:tcMar>
              <w:top w:w="55" w:type="dxa"/>
              <w:start w:w="70" w:type="dxa"/>
              <w:bottom w:w="55" w:type="dxa"/>
              <w:end w:w="70" w:type="dxa"/>
            </w:tcMar>
          </w:tcPr>
          <w:p>
            <w:pPr>
              <w:spacing w:after="0" w:before="0"/>
            </w:pPr>
            <w:r>
              <w:rPr>
                <w:sz w:val="16"/>
              </w:rPr>
              <w:t>Decode → Encode → Decode parity confirmed</w:t>
            </w:r>
          </w:p>
        </w:tc>
      </w:tr>
      <w:tr>
        <w:tc>
          <w:tcPr>
            <w:tcW w:type="dxa" w:w="3360"/>
            <w:vAlign w:val="center"/>
            <w:tcMar>
              <w:top w:w="55" w:type="dxa"/>
              <w:start w:w="70" w:type="dxa"/>
              <w:bottom w:w="55" w:type="dxa"/>
              <w:end w:w="70" w:type="dxa"/>
            </w:tcMar>
          </w:tcPr>
          <w:p>
            <w:pPr>
              <w:spacing w:after="0" w:before="0"/>
            </w:pPr>
            <w:r>
              <w:rPr>
                <w:sz w:val="16"/>
              </w:rPr>
              <w:t>Betway UI proof</w:t>
            </w:r>
          </w:p>
        </w:tc>
        <w:tc>
          <w:tcPr>
            <w:tcW w:type="dxa" w:w="3360"/>
            <w:vAlign w:val="center"/>
            <w:tcMar>
              <w:top w:w="55" w:type="dxa"/>
              <w:start w:w="70" w:type="dxa"/>
              <w:bottom w:w="55" w:type="dxa"/>
              <w:end w:w="70" w:type="dxa"/>
            </w:tcMar>
          </w:tcPr>
          <w:p>
            <w:pPr>
              <w:spacing w:after="0" w:before="0"/>
            </w:pPr>
            <w:r>
              <w:rPr>
                <w:sz w:val="16"/>
              </w:rPr>
              <w:t>Complete</w:t>
            </w:r>
          </w:p>
        </w:tc>
        <w:tc>
          <w:tcPr>
            <w:tcW w:type="dxa" w:w="3360"/>
            <w:vAlign w:val="center"/>
            <w:tcMar>
              <w:top w:w="55" w:type="dxa"/>
              <w:start w:w="70" w:type="dxa"/>
              <w:bottom w:w="55" w:type="dxa"/>
              <w:end w:w="70" w:type="dxa"/>
            </w:tcMar>
          </w:tcPr>
          <w:p>
            <w:pPr>
              <w:spacing w:after="0" w:before="0"/>
            </w:pPr>
            <w:r>
              <w:rPr>
                <w:sz w:val="16"/>
              </w:rPr>
              <w:t>BW69DC9F6B loads all four expected selections</w:t>
            </w:r>
          </w:p>
        </w:tc>
      </w:tr>
      <w:tr>
        <w:tc>
          <w:tcPr>
            <w:tcW w:type="dxa" w:w="3360"/>
            <w:vAlign w:val="center"/>
            <w:tcMar>
              <w:top w:w="55" w:type="dxa"/>
              <w:start w:w="70" w:type="dxa"/>
              <w:bottom w:w="55" w:type="dxa"/>
              <w:end w:w="70" w:type="dxa"/>
            </w:tcMar>
          </w:tcPr>
          <w:p>
            <w:pPr>
              <w:spacing w:after="0" w:before="0"/>
            </w:pPr>
            <w:r>
              <w:rPr>
                <w:sz w:val="16"/>
              </w:rPr>
              <w:t>Backend application</w:t>
            </w:r>
          </w:p>
        </w:tc>
        <w:tc>
          <w:tcPr>
            <w:tcW w:type="dxa" w:w="3360"/>
            <w:vAlign w:val="center"/>
            <w:tcMar>
              <w:top w:w="55" w:type="dxa"/>
              <w:start w:w="70" w:type="dxa"/>
              <w:bottom w:w="55" w:type="dxa"/>
              <w:end w:w="70" w:type="dxa"/>
            </w:tcMar>
          </w:tcPr>
          <w:p>
            <w:pPr>
              <w:spacing w:after="0" w:before="0"/>
            </w:pPr>
            <w:r>
              <w:rPr>
                <w:sz w:val="16"/>
              </w:rPr>
              <w:t>In progress</w:t>
            </w:r>
          </w:p>
        </w:tc>
        <w:tc>
          <w:tcPr>
            <w:tcW w:type="dxa" w:w="3360"/>
            <w:vAlign w:val="center"/>
            <w:tcMar>
              <w:top w:w="55" w:type="dxa"/>
              <w:start w:w="70" w:type="dxa"/>
              <w:bottom w:w="55" w:type="dxa"/>
              <w:end w:w="70" w:type="dxa"/>
            </w:tcMar>
          </w:tcPr>
          <w:p>
            <w:pPr>
              <w:spacing w:after="0" w:before="0"/>
            </w:pPr>
            <w:r>
              <w:rPr>
                <w:sz w:val="16"/>
              </w:rPr>
              <w:t>Implementing operator adapter, validation and API routes</w:t>
            </w:r>
          </w:p>
        </w:tc>
      </w:tr>
      <w:tr>
        <w:tc>
          <w:tcPr>
            <w:tcW w:type="dxa" w:w="3360"/>
            <w:vAlign w:val="center"/>
            <w:tcMar>
              <w:top w:w="55" w:type="dxa"/>
              <w:start w:w="70" w:type="dxa"/>
              <w:bottom w:w="55" w:type="dxa"/>
              <w:end w:w="70" w:type="dxa"/>
            </w:tcMar>
          </w:tcPr>
          <w:p>
            <w:pPr>
              <w:spacing w:after="0" w:before="0"/>
            </w:pPr>
            <w:r>
              <w:rPr>
                <w:sz w:val="16"/>
              </w:rPr>
              <w:t>Web / Flutter / deployment</w:t>
            </w:r>
          </w:p>
        </w:tc>
        <w:tc>
          <w:tcPr>
            <w:tcW w:type="dxa" w:w="3360"/>
            <w:vAlign w:val="center"/>
            <w:tcMar>
              <w:top w:w="55" w:type="dxa"/>
              <w:start w:w="70" w:type="dxa"/>
              <w:bottom w:w="55" w:type="dxa"/>
              <w:end w:w="70" w:type="dxa"/>
            </w:tcMar>
          </w:tcPr>
          <w:p>
            <w:pPr>
              <w:spacing w:after="0" w:before="0"/>
            </w:pPr>
            <w:r>
              <w:rPr>
                <w:sz w:val="16"/>
              </w:rPr>
              <w:t>Remaining</w:t>
            </w:r>
          </w:p>
        </w:tc>
        <w:tc>
          <w:tcPr>
            <w:tcW w:type="dxa" w:w="3360"/>
            <w:vAlign w:val="center"/>
            <w:tcMar>
              <w:top w:w="55" w:type="dxa"/>
              <w:start w:w="70" w:type="dxa"/>
              <w:bottom w:w="55" w:type="dxa"/>
              <w:end w:w="70" w:type="dxa"/>
            </w:tcMar>
          </w:tcPr>
          <w:p>
            <w:pPr>
              <w:spacing w:after="0" w:before="0"/>
            </w:pPr>
            <w:r>
              <w:rPr>
                <w:sz w:val="16"/>
              </w:rPr>
              <w:t>To be completed as assessment deliverables</w:t>
            </w:r>
          </w:p>
        </w:tc>
      </w:tr>
    </w:tbl>
    <w:p>
      <w:pPr>
        <w:pStyle w:val="Heading1"/>
      </w:pPr>
      <w:r>
        <w:t>3. Investigation Timeline</w:t>
      </w:r>
    </w:p>
    <w:p>
      <w:pPr>
        <w:spacing w:after="80"/>
      </w:pPr>
      <w:r>
        <w:rPr>
          <w:b/>
        </w:rPr>
        <w:t xml:space="preserve">1. Public discovery: </w:t>
      </w:r>
      <w:r>
        <w:t>Observed Betway's public booking-code listing and related metadata requests to establish brand/country/culture context.</w:t>
      </w:r>
    </w:p>
    <w:p>
      <w:pPr>
        <w:spacing w:after="80"/>
      </w:pPr>
      <w:r>
        <w:rPr>
          <w:b/>
        </w:rPr>
        <w:t xml:space="preserve">2. Decode discovery: </w:t>
      </w:r>
      <w:r>
        <w:t>Captured the real frontend request used to load a booking code: POST /Betting/FindBookABet.</w:t>
      </w:r>
    </w:p>
    <w:p>
      <w:pPr>
        <w:spacing w:after="80"/>
      </w:pPr>
      <w:r>
        <w:rPr>
          <w:b/>
        </w:rPr>
        <w:t xml:space="preserve">3. Response mapping: </w:t>
      </w:r>
      <w:r>
        <w:t>Confirmed the decode response already contains event, market, exact original market line, outcome and price data required for a canonical slip.</w:t>
      </w:r>
    </w:p>
    <w:p>
      <w:pPr>
        <w:spacing w:after="80"/>
      </w:pPr>
      <w:r>
        <w:rPr>
          <w:b/>
        </w:rPr>
        <w:t xml:space="preserve">4. Frontend source review: </w:t>
      </w:r>
      <w:r>
        <w:t>Searched Betway's publicly delivered JavaScript bundle for FindBookABet and followed the betslip/share flow.</w:t>
      </w:r>
    </w:p>
    <w:p>
      <w:pPr>
        <w:spacing w:after="80"/>
      </w:pPr>
      <w:r>
        <w:rPr>
          <w:b/>
        </w:rPr>
        <w:t xml:space="preserve">5. Encode discovery: </w:t>
      </w:r>
      <w:r>
        <w:t>Found the BookABet mutation in the frontend source. The mutation posts cultureCode, countryCode, isSingleBet and outcomes, then reads response.bookingCode.</w:t>
      </w:r>
    </w:p>
    <w:p>
      <w:pPr>
        <w:spacing w:after="80"/>
      </w:pPr>
      <w:r>
        <w:rPr>
          <w:b/>
        </w:rPr>
        <w:t xml:space="preserve">6. Direct contract test: </w:t>
      </w:r>
      <w:r>
        <w:t>Called BookABet using a sanitized server-style request. Betway returned a real booking code without browser cookie data.</w:t>
      </w:r>
    </w:p>
    <w:p>
      <w:pPr>
        <w:spacing w:after="80"/>
      </w:pPr>
      <w:r>
        <w:rPr>
          <w:b/>
        </w:rPr>
        <w:t xml:space="preserve">7. Edge-case test: </w:t>
      </w:r>
      <w:r>
        <w:t>First generated code was valid, but one selection became unavailable between source capture and verification. The target slip contained 3 of 4 selections.</w:t>
      </w:r>
    </w:p>
    <w:p>
      <w:pPr>
        <w:spacing w:after="80"/>
      </w:pPr>
      <w:r>
        <w:rPr>
          <w:b/>
        </w:rPr>
        <w:t xml:space="preserve">8. Clean retest: </w:t>
      </w:r>
      <w:r>
        <w:t>Repeated the test with four stable pre-match selections. Generated BW69DC9F6B, decoded it immediately and obtained 4/4 parity.</w:t>
      </w:r>
    </w:p>
    <w:p>
      <w:pPr>
        <w:spacing w:after="80"/>
      </w:pPr>
      <w:r>
        <w:rPr>
          <w:b/>
        </w:rPr>
        <w:t xml:space="preserve">9. External UI verification: </w:t>
      </w:r>
      <w:r>
        <w:t>Loaded BW69DC9F6B directly in Betway Nigeria; Betway restored all four selections.</w:t>
      </w:r>
    </w:p>
    <w:p>
      <w:pPr>
        <w:pStyle w:val="Heading1"/>
      </w:pPr>
      <w:r>
        <w:t>4. Discovered Operator Contracts</w:t>
      </w:r>
    </w:p>
    <w:p>
      <w:pPr>
        <w:pStyle w:val="Heading2"/>
      </w:pPr>
      <w:r>
        <w:t>4.1 Decode — FindBookABet</w:t>
      </w:r>
    </w:p>
    <w:p>
      <w:r>
        <w:t>Observed request shape:</w:t>
      </w:r>
    </w:p>
    <w:p>
      <w:pPr>
        <w:pStyle w:val="CodeBlock"/>
        <w:keepLines/>
        <w:shd w:fill="F5F5F5"/>
      </w:pPr>
      <w:r>
        <w:rPr>
          <w:rFonts w:ascii="Consolas" w:hAnsi="Consolas"/>
          <w:sz w:val="16"/>
        </w:rPr>
        <w:t>POST https://www.betway.com.ng/appsynapse/bet-api-sr02/v2/Betting/FindBookABet</w:t>
        <w:br/>
      </w:r>
      <w:r>
        <w:rPr>
          <w:rFonts w:ascii="Consolas" w:hAnsi="Consolas"/>
          <w:sz w:val="16"/>
        </w:rPr>
        <w:t>Content-Type: application/json</w:t>
        <w:br/>
      </w:r>
      <w:r>
        <w:rPr>
          <w:rFonts w:ascii="Consolas" w:hAnsi="Consolas"/>
          <w:sz w:val="16"/>
        </w:rPr>
        <w:t>x-brand-id: f8a8d16a-d619-4b49-aa8c-f21211403c92</w:t>
        <w:br/>
      </w:r>
      <w:r>
        <w:rPr>
          <w:rFonts w:ascii="Consolas" w:hAnsi="Consolas"/>
          <w:sz w:val="16"/>
        </w:rPr>
        <w:br/>
      </w:r>
      <w:r>
        <w:rPr>
          <w:rFonts w:ascii="Consolas" w:hAnsi="Consolas"/>
          <w:sz w:val="16"/>
        </w:rPr>
        <w:t>{</w:t>
        <w:br/>
      </w:r>
      <w:r>
        <w:rPr>
          <w:rFonts w:ascii="Consolas" w:hAnsi="Consolas"/>
          <w:sz w:val="16"/>
        </w:rPr>
        <w:t xml:space="preserve">  "countryCode": "NG",</w:t>
        <w:br/>
      </w:r>
      <w:r>
        <w:rPr>
          <w:rFonts w:ascii="Consolas" w:hAnsi="Consolas"/>
          <w:sz w:val="16"/>
        </w:rPr>
        <w:t xml:space="preserve">  "bookingCode": "BW...",</w:t>
        <w:br/>
      </w:r>
      <w:r>
        <w:rPr>
          <w:rFonts w:ascii="Consolas" w:hAnsi="Consolas"/>
          <w:sz w:val="16"/>
        </w:rPr>
        <w:t xml:space="preserve">  "cultureCode": "en-US"</w:t>
        <w:br/>
      </w:r>
      <w:r>
        <w:rPr>
          <w:rFonts w:ascii="Consolas" w:hAnsi="Consolas"/>
          <w:sz w:val="16"/>
        </w:rPr>
        <w:t>}</w:t>
        <w:br/>
      </w:r>
    </w:p>
    <w:p>
      <w:r>
        <w:t>The response includes selections with sportEvent, market, originalMarket, outcome and price. The exact line for totals/handicaps is carried by originalMarket.marketId, while the parent market may be squashed.</w:t>
      </w:r>
    </w:p>
    <w:p>
      <w:pPr>
        <w:pStyle w:val="Heading2"/>
      </w:pPr>
      <w:r>
        <w:t>4.2 Encode — BookABet</w:t>
      </w:r>
    </w:p>
    <w:p>
      <w:r>
        <w:t>The public frontend bundle contains the booking-code creation mutation:</w:t>
      </w:r>
    </w:p>
    <w:p>
      <w:pPr>
        <w:pStyle w:val="CodeBlock"/>
        <w:keepLines/>
        <w:shd w:fill="F5F5F5"/>
      </w:pPr>
      <w:r>
        <w:rPr>
          <w:rFonts w:ascii="Consolas" w:hAnsi="Consolas"/>
          <w:sz w:val="16"/>
        </w:rPr>
        <w:t>POST /Betting/BookABet</w:t>
        <w:br/>
      </w:r>
      <w:r>
        <w:rPr>
          <w:rFonts w:ascii="Consolas" w:hAnsi="Consolas"/>
          <w:sz w:val="16"/>
        </w:rPr>
        <w:br/>
      </w:r>
      <w:r>
        <w:rPr>
          <w:rFonts w:ascii="Consolas" w:hAnsi="Consolas"/>
          <w:sz w:val="16"/>
        </w:rPr>
        <w:t>{</w:t>
        <w:br/>
      </w:r>
      <w:r>
        <w:rPr>
          <w:rFonts w:ascii="Consolas" w:hAnsi="Consolas"/>
          <w:sz w:val="16"/>
        </w:rPr>
        <w:t xml:space="preserve">  "cultureCode": "en-US",</w:t>
        <w:br/>
      </w:r>
      <w:r>
        <w:rPr>
          <w:rFonts w:ascii="Consolas" w:hAnsi="Consolas"/>
          <w:sz w:val="16"/>
        </w:rPr>
        <w:t xml:space="preserve">  "countryCode": "NG",</w:t>
        <w:br/>
      </w:r>
      <w:r>
        <w:rPr>
          <w:rFonts w:ascii="Consolas" w:hAnsi="Consolas"/>
          <w:sz w:val="16"/>
        </w:rPr>
        <w:t xml:space="preserve">  "isSingleBet": false,</w:t>
        <w:br/>
      </w:r>
      <w:r>
        <w:rPr>
          <w:rFonts w:ascii="Consolas" w:hAnsi="Consolas"/>
          <w:sz w:val="16"/>
        </w:rPr>
        <w:t xml:space="preserve">  "outcomes": [</w:t>
        <w:br/>
      </w:r>
      <w:r>
        <w:rPr>
          <w:rFonts w:ascii="Consolas" w:hAnsi="Consolas"/>
          <w:sz w:val="16"/>
        </w:rPr>
        <w:t xml:space="preserve">    {</w:t>
        <w:br/>
      </w:r>
      <w:r>
        <w:rPr>
          <w:rFonts w:ascii="Consolas" w:hAnsi="Consolas"/>
          <w:sz w:val="16"/>
        </w:rPr>
        <w:t xml:space="preserve">      "outcomeId": "...",</w:t>
        <w:br/>
      </w:r>
      <w:r>
        <w:rPr>
          <w:rFonts w:ascii="Consolas" w:hAnsi="Consolas"/>
          <w:sz w:val="16"/>
        </w:rPr>
        <w:t xml:space="preserve">      "eventId": 12345678,</w:t>
        <w:br/>
      </w:r>
      <w:r>
        <w:rPr>
          <w:rFonts w:ascii="Consolas" w:hAnsi="Consolas"/>
          <w:sz w:val="16"/>
        </w:rPr>
        <w:t xml:space="preserve">      "marketId": "...",</w:t>
        <w:br/>
      </w:r>
      <w:r>
        <w:rPr>
          <w:rFonts w:ascii="Consolas" w:hAnsi="Consolas"/>
          <w:sz w:val="16"/>
        </w:rPr>
        <w:t xml:space="preserve">      "payment": 1,</w:t>
        <w:br/>
      </w:r>
      <w:r>
        <w:rPr>
          <w:rFonts w:ascii="Consolas" w:hAnsi="Consolas"/>
          <w:sz w:val="16"/>
        </w:rPr>
        <w:t xml:space="preserve">      "value": 0,</w:t>
        <w:br/>
      </w:r>
      <w:r>
        <w:rPr>
          <w:rFonts w:ascii="Consolas" w:hAnsi="Consolas"/>
          <w:sz w:val="16"/>
        </w:rPr>
        <w:t xml:space="preserve">      "selected": true</w:t>
        <w:br/>
      </w:r>
      <w:r>
        <w:rPr>
          <w:rFonts w:ascii="Consolas" w:hAnsi="Consolas"/>
          <w:sz w:val="16"/>
        </w:rPr>
        <w:t xml:space="preserve">    }</w:t>
        <w:br/>
      </w:r>
      <w:r>
        <w:rPr>
          <w:rFonts w:ascii="Consolas" w:hAnsi="Consolas"/>
          <w:sz w:val="16"/>
        </w:rPr>
        <w:t xml:space="preserve">  ]</w:t>
        <w:br/>
      </w:r>
      <w:r>
        <w:rPr>
          <w:rFonts w:ascii="Consolas" w:hAnsi="Consolas"/>
          <w:sz w:val="16"/>
        </w:rPr>
        <w:t>}</w:t>
        <w:br/>
      </w:r>
      <w:r>
        <w:rPr>
          <w:rFonts w:ascii="Consolas" w:hAnsi="Consolas"/>
          <w:sz w:val="16"/>
        </w:rPr>
        <w:br/>
      </w:r>
      <w:r>
        <w:rPr>
          <w:rFonts w:ascii="Consolas" w:hAnsi="Consolas"/>
          <w:sz w:val="16"/>
        </w:rPr>
        <w:t>Success response:</w:t>
        <w:br/>
      </w:r>
      <w:r>
        <w:rPr>
          <w:rFonts w:ascii="Consolas" w:hAnsi="Consolas"/>
          <w:sz w:val="16"/>
        </w:rPr>
        <w:t>{ "bookingCode": "BW..." }</w:t>
        <w:br/>
      </w:r>
    </w:p>
    <w:p>
      <w:r>
        <w:t>During the assessment session, this endpoint succeeded using a sanitized request with no browser cookies and no populated Authorization value. The implementation should still treat Betway as an external dependency whose behavior may change.</w:t>
      </w:r>
    </w:p>
    <w:p>
      <w:pPr>
        <w:pStyle w:val="Heading2"/>
      </w:pPr>
      <w:r>
        <w:t>4.3 Convert — Orchestration</w:t>
      </w:r>
    </w:p>
    <w:p>
      <w:pPr>
        <w:pStyle w:val="CodeBlock"/>
        <w:keepLines/>
        <w:shd w:fill="F5F5F5"/>
      </w:pPr>
      <w:r>
        <w:rPr>
          <w:rFonts w:ascii="Consolas" w:hAnsi="Consolas"/>
          <w:sz w:val="16"/>
        </w:rPr>
        <w:t>source booking code</w:t>
        <w:br/>
      </w:r>
      <w:r>
        <w:rPr>
          <w:rFonts w:ascii="Consolas" w:hAnsi="Consolas"/>
          <w:sz w:val="16"/>
        </w:rPr>
        <w:t xml:space="preserve">        |</w:t>
        <w:br/>
      </w:r>
      <w:r>
        <w:rPr>
          <w:rFonts w:ascii="Consolas" w:hAnsi="Consolas"/>
          <w:sz w:val="16"/>
        </w:rPr>
        <w:t xml:space="preserve">        v</w:t>
        <w:br/>
      </w:r>
      <w:r>
        <w:rPr>
          <w:rFonts w:ascii="Consolas" w:hAnsi="Consolas"/>
          <w:sz w:val="16"/>
        </w:rPr>
        <w:t>FindBookABet</w:t>
        <w:br/>
      </w:r>
      <w:r>
        <w:rPr>
          <w:rFonts w:ascii="Consolas" w:hAnsi="Consolas"/>
          <w:sz w:val="16"/>
        </w:rPr>
        <w:t xml:space="preserve">        |</w:t>
        <w:br/>
      </w:r>
      <w:r>
        <w:rPr>
          <w:rFonts w:ascii="Consolas" w:hAnsi="Consolas"/>
          <w:sz w:val="16"/>
        </w:rPr>
        <w:t xml:space="preserve">        v</w:t>
        <w:br/>
      </w:r>
      <w:r>
        <w:rPr>
          <w:rFonts w:ascii="Consolas" w:hAnsi="Consolas"/>
          <w:sz w:val="16"/>
        </w:rPr>
        <w:t>canonical selections</w:t>
        <w:br/>
      </w:r>
      <w:r>
        <w:rPr>
          <w:rFonts w:ascii="Consolas" w:hAnsi="Consolas"/>
          <w:sz w:val="16"/>
        </w:rPr>
        <w:t xml:space="preserve">        |</w:t>
        <w:br/>
      </w:r>
      <w:r>
        <w:rPr>
          <w:rFonts w:ascii="Consolas" w:hAnsi="Consolas"/>
          <w:sz w:val="16"/>
        </w:rPr>
        <w:t xml:space="preserve">        v</w:t>
        <w:br/>
      </w:r>
      <w:r>
        <w:rPr>
          <w:rFonts w:ascii="Consolas" w:hAnsi="Consolas"/>
          <w:sz w:val="16"/>
        </w:rPr>
        <w:t>BookABet</w:t>
        <w:br/>
      </w:r>
      <w:r>
        <w:rPr>
          <w:rFonts w:ascii="Consolas" w:hAnsi="Consolas"/>
          <w:sz w:val="16"/>
        </w:rPr>
        <w:t xml:space="preserve">        |</w:t>
        <w:br/>
      </w:r>
      <w:r>
        <w:rPr>
          <w:rFonts w:ascii="Consolas" w:hAnsi="Consolas"/>
          <w:sz w:val="16"/>
        </w:rPr>
        <w:t xml:space="preserve">        v</w:t>
        <w:br/>
      </w:r>
      <w:r>
        <w:rPr>
          <w:rFonts w:ascii="Consolas" w:hAnsi="Consolas"/>
          <w:sz w:val="16"/>
        </w:rPr>
        <w:t>new booking code</w:t>
        <w:br/>
      </w:r>
      <w:r>
        <w:rPr>
          <w:rFonts w:ascii="Consolas" w:hAnsi="Consolas"/>
          <w:sz w:val="16"/>
        </w:rPr>
        <w:t xml:space="preserve">        |</w:t>
        <w:br/>
      </w:r>
      <w:r>
        <w:rPr>
          <w:rFonts w:ascii="Consolas" w:hAnsi="Consolas"/>
          <w:sz w:val="16"/>
        </w:rPr>
        <w:t xml:space="preserve">        v</w:t>
        <w:br/>
      </w:r>
      <w:r>
        <w:rPr>
          <w:rFonts w:ascii="Consolas" w:hAnsi="Consolas"/>
          <w:sz w:val="16"/>
        </w:rPr>
        <w:t>FindBookABet(new code)</w:t>
        <w:br/>
      </w:r>
      <w:r>
        <w:rPr>
          <w:rFonts w:ascii="Consolas" w:hAnsi="Consolas"/>
          <w:sz w:val="16"/>
        </w:rPr>
        <w:t xml:space="preserve">        |</w:t>
        <w:br/>
      </w:r>
      <w:r>
        <w:rPr>
          <w:rFonts w:ascii="Consolas" w:hAnsi="Consolas"/>
          <w:sz w:val="16"/>
        </w:rPr>
        <w:t xml:space="preserve">        v</w:t>
        <w:br/>
      </w:r>
      <w:r>
        <w:rPr>
          <w:rFonts w:ascii="Consolas" w:hAnsi="Consolas"/>
          <w:sz w:val="16"/>
        </w:rPr>
        <w:t>identity / fingerprint comparison</w:t>
        <w:br/>
      </w:r>
      <w:r>
        <w:rPr>
          <w:rFonts w:ascii="Consolas" w:hAnsi="Consolas"/>
          <w:sz w:val="16"/>
        </w:rPr>
        <w:t xml:space="preserve">        |</w:t>
        <w:br/>
      </w:r>
      <w:r>
        <w:rPr>
          <w:rFonts w:ascii="Consolas" w:hAnsi="Consolas"/>
          <w:sz w:val="16"/>
        </w:rPr>
        <w:t xml:space="preserve">        +--&gt; PASS: return verified code</w:t>
        <w:br/>
      </w:r>
      <w:r>
        <w:rPr>
          <w:rFonts w:ascii="Consolas" w:hAnsi="Consolas"/>
          <w:sz w:val="16"/>
        </w:rPr>
        <w:t xml:space="preserve">        +--&gt; FAIL: report missing/changed selections</w:t>
        <w:br/>
      </w:r>
    </w:p>
    <w:p>
      <w:pPr>
        <w:pStyle w:val="Heading1"/>
      </w:pPr>
      <w:r>
        <w:t>5. Verification Evidence</w:t>
      </w:r>
    </w:p>
    <w:p>
      <w:pPr>
        <w:pStyle w:val="Heading2"/>
      </w:pPr>
      <w:r>
        <w:t>5.1 First test: useful failure case</w:t>
      </w:r>
    </w:p>
    <w:p>
      <w:r>
        <w:t>The first generated code, BW69D25E9D, was valid and decodable. However, the regenerated slip contained only 3 of the 4 source selections. One source event/market was no longer safely available by the time verification ran. This exposed an important integration rule: a successful BookABet response is not enough to claim conversion parity.</w:t>
      </w:r>
    </w:p>
    <w:tbl>
      <w:tblPr>
        <w:tblW w:type="auto" w:w="0"/>
        <w:jc w:val="center"/>
        <w:tblLayout w:type="autofit"/>
        <w:tblLook w:firstColumn="1" w:firstRow="1" w:lastColumn="0" w:lastRow="0" w:noHBand="0" w:noVBand="1" w:val="04A0"/>
      </w:tblPr>
      <w:tblGrid>
        <w:gridCol w:w="10080"/>
      </w:tblGrid>
      <w:tr>
        <w:tc>
          <w:tcPr>
            <w:tcW w:type="dxa" w:w="10080"/>
            <w:shd w:fill="EDF3FA"/>
            <w:tcMar>
              <w:top w:w="110" w:type="dxa"/>
              <w:start w:w="120" w:type="dxa"/>
              <w:bottom w:w="110" w:type="dxa"/>
              <w:end w:w="120" w:type="dxa"/>
            </w:tcMar>
          </w:tcPr>
          <w:p>
            <w:r>
              <w:rPr>
                <w:b/>
                <w:color w:val="2F5496"/>
                <w:sz w:val="20"/>
              </w:rPr>
              <w:t>Engineering decision from this failure</w:t>
            </w:r>
            <w:r>
              <w:br/>
              <w:t>Every Convert operation must decode the newly generated code and compare stable selection identities before returning a verified result. If a selection disappears or changes, the conversion must be reported as failed or partial rather than silently accepted.</w:t>
            </w:r>
          </w:p>
        </w:tc>
      </w:tr>
    </w:tbl>
    <w:p>
      <w:pPr>
        <w:spacing w:after="0"/>
      </w:pPr>
    </w:p>
    <w:p>
      <w:pPr>
        <w:pStyle w:val="Heading2"/>
      </w:pPr>
      <w:r>
        <w:t>5.2 Clean retest: full parity</w:t>
      </w:r>
    </w:p>
    <w:p>
      <w:r>
        <w:t>A second test used four stable, active pre-match selections. BookABet returned BW69DC9F6B. The new code was immediately decoded and returned all four expected selections.</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2016"/>
            <w:vAlign w:val="center"/>
            <w:tcMar>
              <w:top w:w="55" w:type="dxa"/>
              <w:start w:w="70" w:type="dxa"/>
              <w:bottom w:w="55" w:type="dxa"/>
              <w:end w:w="70" w:type="dxa"/>
            </w:tcMar>
            <w:shd w:fill="DCE6F1"/>
          </w:tcPr>
          <w:p>
            <w:pPr>
              <w:spacing w:after="0" w:before="0"/>
            </w:pPr>
            <w:r>
              <w:rPr>
                <w:b/>
                <w:color w:val="1F3654"/>
                <w:sz w:val="16"/>
              </w:rPr>
              <w:t>Event</w:t>
            </w:r>
          </w:p>
        </w:tc>
        <w:tc>
          <w:tcPr>
            <w:tcW w:type="dxa" w:w="2016"/>
            <w:vAlign w:val="center"/>
            <w:tcMar>
              <w:top w:w="55" w:type="dxa"/>
              <w:start w:w="70" w:type="dxa"/>
              <w:bottom w:w="55" w:type="dxa"/>
              <w:end w:w="70" w:type="dxa"/>
            </w:tcMar>
            <w:shd w:fill="DCE6F1"/>
          </w:tcPr>
          <w:p>
            <w:pPr>
              <w:spacing w:after="0" w:before="0"/>
            </w:pPr>
            <w:r>
              <w:rPr>
                <w:b/>
                <w:color w:val="1F3654"/>
                <w:sz w:val="16"/>
              </w:rPr>
              <w:t>Selection</w:t>
            </w:r>
          </w:p>
        </w:tc>
        <w:tc>
          <w:tcPr>
            <w:tcW w:type="dxa" w:w="2016"/>
            <w:vAlign w:val="center"/>
            <w:tcMar>
              <w:top w:w="55" w:type="dxa"/>
              <w:start w:w="70" w:type="dxa"/>
              <w:bottom w:w="55" w:type="dxa"/>
              <w:end w:w="70" w:type="dxa"/>
            </w:tcMar>
            <w:shd w:fill="DCE6F1"/>
          </w:tcPr>
          <w:p>
            <w:pPr>
              <w:spacing w:after="0" w:before="0"/>
            </w:pPr>
            <w:r>
              <w:rPr>
                <w:b/>
                <w:color w:val="1F3654"/>
                <w:sz w:val="16"/>
              </w:rPr>
              <w:t>Event ID</w:t>
            </w:r>
          </w:p>
        </w:tc>
        <w:tc>
          <w:tcPr>
            <w:tcW w:type="dxa" w:w="2016"/>
            <w:vAlign w:val="center"/>
            <w:tcMar>
              <w:top w:w="55" w:type="dxa"/>
              <w:start w:w="70" w:type="dxa"/>
              <w:bottom w:w="55" w:type="dxa"/>
              <w:end w:w="70" w:type="dxa"/>
            </w:tcMar>
            <w:shd w:fill="DCE6F1"/>
          </w:tcPr>
          <w:p>
            <w:pPr>
              <w:spacing w:after="0" w:before="0"/>
            </w:pPr>
            <w:r>
              <w:rPr>
                <w:b/>
                <w:color w:val="1F3654"/>
                <w:sz w:val="16"/>
              </w:rPr>
              <w:t>Exact market</w:t>
            </w:r>
          </w:p>
        </w:tc>
        <w:tc>
          <w:tcPr>
            <w:tcW w:type="dxa" w:w="2016"/>
            <w:vAlign w:val="center"/>
            <w:tcMar>
              <w:top w:w="55" w:type="dxa"/>
              <w:start w:w="70" w:type="dxa"/>
              <w:bottom w:w="55" w:type="dxa"/>
              <w:end w:w="70" w:type="dxa"/>
            </w:tcMar>
            <w:shd w:fill="DCE6F1"/>
          </w:tcPr>
          <w:p>
            <w:pPr>
              <w:spacing w:after="0" w:before="0"/>
            </w:pPr>
            <w:r>
              <w:rPr>
                <w:b/>
                <w:color w:val="1F3654"/>
                <w:sz w:val="16"/>
              </w:rPr>
              <w:t>Outcome ID</w:t>
            </w:r>
          </w:p>
        </w:tc>
      </w:tr>
      <w:tr>
        <w:tc>
          <w:tcPr>
            <w:tcW w:type="dxa" w:w="2016"/>
            <w:vAlign w:val="center"/>
            <w:tcMar>
              <w:top w:w="55" w:type="dxa"/>
              <w:start w:w="70" w:type="dxa"/>
              <w:bottom w:w="55" w:type="dxa"/>
              <w:end w:w="70" w:type="dxa"/>
            </w:tcMar>
          </w:tcPr>
          <w:p>
            <w:pPr>
              <w:spacing w:after="0" w:before="0"/>
            </w:pPr>
            <w:r>
              <w:rPr>
                <w:sz w:val="16"/>
              </w:rPr>
              <w:t>Connecticut Sun vs. Los Angeles Sparks</w:t>
            </w:r>
          </w:p>
        </w:tc>
        <w:tc>
          <w:tcPr>
            <w:tcW w:type="dxa" w:w="2016"/>
            <w:vAlign w:val="center"/>
            <w:tcMar>
              <w:top w:w="55" w:type="dxa"/>
              <w:start w:w="70" w:type="dxa"/>
              <w:bottom w:w="55" w:type="dxa"/>
              <w:end w:w="70" w:type="dxa"/>
            </w:tcMar>
          </w:tcPr>
          <w:p>
            <w:pPr>
              <w:spacing w:after="0" w:before="0"/>
            </w:pPr>
            <w:r>
              <w:rPr>
                <w:sz w:val="16"/>
              </w:rPr>
              <w:t>Los Angeles Sparks (-1.5)</w:t>
            </w:r>
          </w:p>
        </w:tc>
        <w:tc>
          <w:tcPr>
            <w:tcW w:type="dxa" w:w="2016"/>
            <w:vAlign w:val="center"/>
            <w:tcMar>
              <w:top w:w="55" w:type="dxa"/>
              <w:start w:w="70" w:type="dxa"/>
              <w:bottom w:w="55" w:type="dxa"/>
              <w:end w:w="70" w:type="dxa"/>
            </w:tcMar>
          </w:tcPr>
          <w:p>
            <w:pPr>
              <w:spacing w:after="0" w:before="0"/>
            </w:pPr>
            <w:r>
              <w:rPr>
                <w:sz w:val="16"/>
              </w:rPr>
              <w:t>68096464</w:t>
            </w:r>
          </w:p>
        </w:tc>
        <w:tc>
          <w:tcPr>
            <w:tcW w:type="dxa" w:w="2016"/>
            <w:vAlign w:val="center"/>
            <w:tcMar>
              <w:top w:w="55" w:type="dxa"/>
              <w:start w:w="70" w:type="dxa"/>
              <w:bottom w:w="55" w:type="dxa"/>
              <w:end w:w="70" w:type="dxa"/>
            </w:tcMar>
          </w:tcPr>
          <w:p>
            <w:pPr>
              <w:spacing w:after="0" w:before="0"/>
            </w:pPr>
            <w:r>
              <w:rPr>
                <w:rFonts w:ascii="Consolas" w:hAnsi="Consolas"/>
                <w:sz w:val="14"/>
              </w:rPr>
              <w:t>68096464223hcp=1.5~</w:t>
            </w:r>
          </w:p>
        </w:tc>
        <w:tc>
          <w:tcPr>
            <w:tcW w:type="dxa" w:w="2016"/>
            <w:vAlign w:val="center"/>
            <w:tcMar>
              <w:top w:w="55" w:type="dxa"/>
              <w:start w:w="70" w:type="dxa"/>
              <w:bottom w:w="55" w:type="dxa"/>
              <w:end w:w="70" w:type="dxa"/>
            </w:tcMar>
          </w:tcPr>
          <w:p>
            <w:pPr>
              <w:spacing w:after="0" w:before="0"/>
            </w:pPr>
            <w:r>
              <w:rPr>
                <w:rFonts w:ascii="Consolas" w:hAnsi="Consolas"/>
                <w:sz w:val="14"/>
              </w:rPr>
              <w:t>68096464223hcp=1.5~1715</w:t>
            </w:r>
          </w:p>
        </w:tc>
      </w:tr>
      <w:tr>
        <w:tc>
          <w:tcPr>
            <w:tcW w:type="dxa" w:w="2016"/>
            <w:vAlign w:val="center"/>
            <w:tcMar>
              <w:top w:w="55" w:type="dxa"/>
              <w:start w:w="70" w:type="dxa"/>
              <w:bottom w:w="55" w:type="dxa"/>
              <w:end w:w="70" w:type="dxa"/>
            </w:tcMar>
          </w:tcPr>
          <w:p>
            <w:pPr>
              <w:spacing w:after="0" w:before="0"/>
            </w:pPr>
            <w:r>
              <w:rPr>
                <w:sz w:val="16"/>
              </w:rPr>
              <w:t>Toronto Tempo vs. Indiana Fever</w:t>
            </w:r>
          </w:p>
        </w:tc>
        <w:tc>
          <w:tcPr>
            <w:tcW w:type="dxa" w:w="2016"/>
            <w:vAlign w:val="center"/>
            <w:tcMar>
              <w:top w:w="55" w:type="dxa"/>
              <w:start w:w="70" w:type="dxa"/>
              <w:bottom w:w="55" w:type="dxa"/>
              <w:end w:w="70" w:type="dxa"/>
            </w:tcMar>
          </w:tcPr>
          <w:p>
            <w:pPr>
              <w:spacing w:after="0" w:before="0"/>
            </w:pPr>
            <w:r>
              <w:rPr>
                <w:sz w:val="16"/>
              </w:rPr>
              <w:t>Indiana Fever (-10.5)</w:t>
            </w:r>
          </w:p>
        </w:tc>
        <w:tc>
          <w:tcPr>
            <w:tcW w:type="dxa" w:w="2016"/>
            <w:vAlign w:val="center"/>
            <w:tcMar>
              <w:top w:w="55" w:type="dxa"/>
              <w:start w:w="70" w:type="dxa"/>
              <w:bottom w:w="55" w:type="dxa"/>
              <w:end w:w="70" w:type="dxa"/>
            </w:tcMar>
          </w:tcPr>
          <w:p>
            <w:pPr>
              <w:spacing w:after="0" w:before="0"/>
            </w:pPr>
            <w:r>
              <w:rPr>
                <w:sz w:val="16"/>
              </w:rPr>
              <w:t>68096586</w:t>
            </w:r>
          </w:p>
        </w:tc>
        <w:tc>
          <w:tcPr>
            <w:tcW w:type="dxa" w:w="2016"/>
            <w:vAlign w:val="center"/>
            <w:tcMar>
              <w:top w:w="55" w:type="dxa"/>
              <w:start w:w="70" w:type="dxa"/>
              <w:bottom w:w="55" w:type="dxa"/>
              <w:end w:w="70" w:type="dxa"/>
            </w:tcMar>
          </w:tcPr>
          <w:p>
            <w:pPr>
              <w:spacing w:after="0" w:before="0"/>
            </w:pPr>
            <w:r>
              <w:rPr>
                <w:rFonts w:ascii="Consolas" w:hAnsi="Consolas"/>
                <w:sz w:val="14"/>
              </w:rPr>
              <w:t>68096586223hcp=10.5~</w:t>
            </w:r>
          </w:p>
        </w:tc>
        <w:tc>
          <w:tcPr>
            <w:tcW w:type="dxa" w:w="2016"/>
            <w:vAlign w:val="center"/>
            <w:tcMar>
              <w:top w:w="55" w:type="dxa"/>
              <w:start w:w="70" w:type="dxa"/>
              <w:bottom w:w="55" w:type="dxa"/>
              <w:end w:w="70" w:type="dxa"/>
            </w:tcMar>
          </w:tcPr>
          <w:p>
            <w:pPr>
              <w:spacing w:after="0" w:before="0"/>
            </w:pPr>
            <w:r>
              <w:rPr>
                <w:rFonts w:ascii="Consolas" w:hAnsi="Consolas"/>
                <w:sz w:val="14"/>
              </w:rPr>
              <w:t>68096586223hcp=10.5~1715</w:t>
            </w:r>
          </w:p>
        </w:tc>
      </w:tr>
      <w:tr>
        <w:tc>
          <w:tcPr>
            <w:tcW w:type="dxa" w:w="2016"/>
            <w:vAlign w:val="center"/>
            <w:tcMar>
              <w:top w:w="55" w:type="dxa"/>
              <w:start w:w="70" w:type="dxa"/>
              <w:bottom w:w="55" w:type="dxa"/>
              <w:end w:w="70" w:type="dxa"/>
            </w:tcMar>
          </w:tcPr>
          <w:p>
            <w:pPr>
              <w:spacing w:after="0" w:before="0"/>
            </w:pPr>
            <w:r>
              <w:rPr>
                <w:sz w:val="16"/>
              </w:rPr>
              <w:t>Chicago Sky vs. New York Liberty</w:t>
            </w:r>
          </w:p>
        </w:tc>
        <w:tc>
          <w:tcPr>
            <w:tcW w:type="dxa" w:w="2016"/>
            <w:vAlign w:val="center"/>
            <w:tcMar>
              <w:top w:w="55" w:type="dxa"/>
              <w:start w:w="70" w:type="dxa"/>
              <w:bottom w:w="55" w:type="dxa"/>
              <w:end w:w="70" w:type="dxa"/>
            </w:tcMar>
          </w:tcPr>
          <w:p>
            <w:pPr>
              <w:spacing w:after="0" w:before="0"/>
            </w:pPr>
            <w:r>
              <w:rPr>
                <w:sz w:val="16"/>
              </w:rPr>
              <w:t>New York Liberty (-4.5)</w:t>
            </w:r>
          </w:p>
        </w:tc>
        <w:tc>
          <w:tcPr>
            <w:tcW w:type="dxa" w:w="2016"/>
            <w:vAlign w:val="center"/>
            <w:tcMar>
              <w:top w:w="55" w:type="dxa"/>
              <w:start w:w="70" w:type="dxa"/>
              <w:bottom w:w="55" w:type="dxa"/>
              <w:end w:w="70" w:type="dxa"/>
            </w:tcMar>
          </w:tcPr>
          <w:p>
            <w:pPr>
              <w:spacing w:after="0" w:before="0"/>
            </w:pPr>
            <w:r>
              <w:rPr>
                <w:sz w:val="16"/>
              </w:rPr>
              <w:t>68096120</w:t>
            </w:r>
          </w:p>
        </w:tc>
        <w:tc>
          <w:tcPr>
            <w:tcW w:type="dxa" w:w="2016"/>
            <w:vAlign w:val="center"/>
            <w:tcMar>
              <w:top w:w="55" w:type="dxa"/>
              <w:start w:w="70" w:type="dxa"/>
              <w:bottom w:w="55" w:type="dxa"/>
              <w:end w:w="70" w:type="dxa"/>
            </w:tcMar>
          </w:tcPr>
          <w:p>
            <w:pPr>
              <w:spacing w:after="0" w:before="0"/>
            </w:pPr>
            <w:r>
              <w:rPr>
                <w:rFonts w:ascii="Consolas" w:hAnsi="Consolas"/>
                <w:sz w:val="14"/>
              </w:rPr>
              <w:t>68096120223hcp=4.5~</w:t>
            </w:r>
          </w:p>
        </w:tc>
        <w:tc>
          <w:tcPr>
            <w:tcW w:type="dxa" w:w="2016"/>
            <w:vAlign w:val="center"/>
            <w:tcMar>
              <w:top w:w="55" w:type="dxa"/>
              <w:start w:w="70" w:type="dxa"/>
              <w:bottom w:w="55" w:type="dxa"/>
              <w:end w:w="70" w:type="dxa"/>
            </w:tcMar>
          </w:tcPr>
          <w:p>
            <w:pPr>
              <w:spacing w:after="0" w:before="0"/>
            </w:pPr>
            <w:r>
              <w:rPr>
                <w:rFonts w:ascii="Consolas" w:hAnsi="Consolas"/>
                <w:sz w:val="14"/>
              </w:rPr>
              <w:t>68096120223hcp=4.5~1715</w:t>
            </w:r>
          </w:p>
        </w:tc>
      </w:tr>
      <w:tr>
        <w:tc>
          <w:tcPr>
            <w:tcW w:type="dxa" w:w="2016"/>
            <w:vAlign w:val="center"/>
            <w:tcMar>
              <w:top w:w="55" w:type="dxa"/>
              <w:start w:w="70" w:type="dxa"/>
              <w:bottom w:w="55" w:type="dxa"/>
              <w:end w:w="70" w:type="dxa"/>
            </w:tcMar>
          </w:tcPr>
          <w:p>
            <w:pPr>
              <w:spacing w:after="0" w:before="0"/>
            </w:pPr>
            <w:r>
              <w:rPr>
                <w:sz w:val="16"/>
              </w:rPr>
              <w:t>Las Vegas Aces vs. Atlanta Dream</w:t>
            </w:r>
          </w:p>
        </w:tc>
        <w:tc>
          <w:tcPr>
            <w:tcW w:type="dxa" w:w="2016"/>
            <w:vAlign w:val="center"/>
            <w:tcMar>
              <w:top w:w="55" w:type="dxa"/>
              <w:start w:w="70" w:type="dxa"/>
              <w:bottom w:w="55" w:type="dxa"/>
              <w:end w:w="70" w:type="dxa"/>
            </w:tcMar>
          </w:tcPr>
          <w:p>
            <w:pPr>
              <w:spacing w:after="0" w:before="0"/>
            </w:pPr>
            <w:r>
              <w:rPr>
                <w:sz w:val="16"/>
              </w:rPr>
              <w:t>Las Vegas Aces (-3.5)</w:t>
            </w:r>
          </w:p>
        </w:tc>
        <w:tc>
          <w:tcPr>
            <w:tcW w:type="dxa" w:w="2016"/>
            <w:vAlign w:val="center"/>
            <w:tcMar>
              <w:top w:w="55" w:type="dxa"/>
              <w:start w:w="70" w:type="dxa"/>
              <w:bottom w:w="55" w:type="dxa"/>
              <w:end w:w="70" w:type="dxa"/>
            </w:tcMar>
          </w:tcPr>
          <w:p>
            <w:pPr>
              <w:spacing w:after="0" w:before="0"/>
            </w:pPr>
            <w:r>
              <w:rPr>
                <w:sz w:val="16"/>
              </w:rPr>
              <w:t>68096232</w:t>
            </w:r>
          </w:p>
        </w:tc>
        <w:tc>
          <w:tcPr>
            <w:tcW w:type="dxa" w:w="2016"/>
            <w:vAlign w:val="center"/>
            <w:tcMar>
              <w:top w:w="55" w:type="dxa"/>
              <w:start w:w="70" w:type="dxa"/>
              <w:bottom w:w="55" w:type="dxa"/>
              <w:end w:w="70" w:type="dxa"/>
            </w:tcMar>
          </w:tcPr>
          <w:p>
            <w:pPr>
              <w:spacing w:after="0" w:before="0"/>
            </w:pPr>
            <w:r>
              <w:rPr>
                <w:rFonts w:ascii="Consolas" w:hAnsi="Consolas"/>
                <w:sz w:val="14"/>
              </w:rPr>
              <w:t>68096232223hcp=-3.5~</w:t>
            </w:r>
          </w:p>
        </w:tc>
        <w:tc>
          <w:tcPr>
            <w:tcW w:type="dxa" w:w="2016"/>
            <w:vAlign w:val="center"/>
            <w:tcMar>
              <w:top w:w="55" w:type="dxa"/>
              <w:start w:w="70" w:type="dxa"/>
              <w:bottom w:w="55" w:type="dxa"/>
              <w:end w:w="70" w:type="dxa"/>
            </w:tcMar>
          </w:tcPr>
          <w:p>
            <w:pPr>
              <w:spacing w:after="0" w:before="0"/>
            </w:pPr>
            <w:r>
              <w:rPr>
                <w:rFonts w:ascii="Consolas" w:hAnsi="Consolas"/>
                <w:sz w:val="14"/>
              </w:rPr>
              <w:t>68096232223hcp=-3.5~1714</w:t>
            </w:r>
          </w:p>
        </w:tc>
      </w:tr>
    </w:tbl>
    <w:p>
      <w:r>
        <w:rPr>
          <w:rFonts w:ascii="Consolas" w:hAnsi="Consolas"/>
          <w:sz w:val="16"/>
        </w:rPr>
        <w:t>Stable identity fingerprint (SHA-256): 94c3c1d45329763971d28d59ca4dc2e3194c132ada692a639fb907fad395b56c</w:t>
      </w:r>
    </w:p>
    <w:p>
      <w:pPr>
        <w:pStyle w:val="Heading2"/>
      </w:pPr>
      <w:r>
        <w:t>5.3 Betway UI verification</w:t>
      </w:r>
    </w:p>
    <w:p>
      <w:r>
        <w:t>The generated code BW69DC9F6B was pasted into Betway's own booking-code input. Betway displayed “Multi 4” and restored the four expected selections, providing external operator proof.</w:t>
      </w:r>
    </w:p>
    <w:p>
      <w:pPr>
        <w:jc w:val="center"/>
      </w:pPr>
      <w:r>
        <w:drawing>
          <wp:inline xmlns:a="http://schemas.openxmlformats.org/drawingml/2006/main" xmlns:pic="http://schemas.openxmlformats.org/drawingml/2006/picture">
            <wp:extent cx="3063240" cy="7088489"/>
            <wp:docPr id="1" name="Picture 1"/>
            <wp:cNvGraphicFramePr>
              <a:graphicFrameLocks noChangeAspect="1"/>
            </wp:cNvGraphicFramePr>
            <a:graphic>
              <a:graphicData uri="http://schemas.openxmlformats.org/drawingml/2006/picture">
                <pic:pic>
                  <pic:nvPicPr>
                    <pic:cNvPr id="0" name="2737e476-0e83-4b4f-a608-f9150bcd5fe6.png"/>
                    <pic:cNvPicPr/>
                  </pic:nvPicPr>
                  <pic:blipFill>
                    <a:blip r:embed="rId11"/>
                    <a:stretch>
                      <a:fillRect/>
                    </a:stretch>
                  </pic:blipFill>
                  <pic:spPr>
                    <a:xfrm>
                      <a:off x="0" y="0"/>
                      <a:ext cx="3063240" cy="7088489"/>
                    </a:xfrm>
                    <a:prstGeom prst="rect"/>
                  </pic:spPr>
                </pic:pic>
              </a:graphicData>
            </a:graphic>
          </wp:inline>
        </w:drawing>
      </w:r>
    </w:p>
    <w:p>
      <w:pPr>
        <w:jc w:val="center"/>
      </w:pPr>
      <w:r>
        <w:rPr>
          <w:i/>
          <w:color w:val="5F6368"/>
          <w:sz w:val="16"/>
        </w:rPr>
        <w:t>Figure 1 — Betway Nigeria successfully loading generated code BW69DC9F6B with all four selections.</w:t>
      </w:r>
    </w:p>
    <w:p>
      <w:pPr>
        <w:pStyle w:val="Heading1"/>
      </w:pPr>
      <w:r>
        <w:t>6. Parity and Fingerprint Strategy</w:t>
      </w:r>
    </w:p>
    <w:p>
      <w:r>
        <w:t>Odds are intentionally excluded from semantic parity. Prices are live market data and can move between Decode and Verify. The stable identity for a selection is based on the event, the exact original market line, and the selected outcome.</w:t>
      </w:r>
    </w:p>
    <w:p>
      <w:pPr>
        <w:pStyle w:val="CodeBlock"/>
        <w:keepLines/>
        <w:shd w:fill="F5F5F5"/>
      </w:pPr>
      <w:r>
        <w:rPr>
          <w:rFonts w:ascii="Consolas" w:hAnsi="Consolas"/>
          <w:sz w:val="16"/>
        </w:rPr>
        <w:t>selection identity =</w:t>
        <w:br/>
      </w:r>
      <w:r>
        <w:rPr>
          <w:rFonts w:ascii="Consolas" w:hAnsi="Consolas"/>
          <w:sz w:val="16"/>
        </w:rPr>
        <w:t xml:space="preserve">  eventId + ":" + originalMarket.marketId + ":" + outcomeId</w:t>
        <w:br/>
      </w:r>
      <w:r>
        <w:rPr>
          <w:rFonts w:ascii="Consolas" w:hAnsi="Consolas"/>
          <w:sz w:val="16"/>
        </w:rPr>
        <w:br/>
      </w:r>
      <w:r>
        <w:rPr>
          <w:rFonts w:ascii="Consolas" w:hAnsi="Consolas"/>
          <w:sz w:val="16"/>
        </w:rPr>
        <w:t>slip fingerprint =</w:t>
        <w:br/>
      </w:r>
      <w:r>
        <w:rPr>
          <w:rFonts w:ascii="Consolas" w:hAnsi="Consolas"/>
          <w:sz w:val="16"/>
        </w:rPr>
        <w:t xml:space="preserve">  SHA-256(sort(selection identities).join("|"))</w:t>
        <w:br/>
      </w:r>
    </w:p>
    <w:p>
      <w:pPr>
        <w:pStyle w:val="ListBullet"/>
        <w:spacing w:after="40"/>
      </w:pPr>
      <w:r>
        <w:t>Selection ordering does not affect the fingerprint.</w:t>
      </w:r>
    </w:p>
    <w:p>
      <w:pPr>
        <w:pStyle w:val="ListBullet"/>
        <w:spacing w:after="40"/>
      </w:pPr>
      <w:r>
        <w:t>Odds/price changes do not affect the fingerprint.</w:t>
      </w:r>
    </w:p>
    <w:p>
      <w:pPr>
        <w:pStyle w:val="ListBullet"/>
        <w:spacing w:after="40"/>
      </w:pPr>
      <w:r>
        <w:t>Changing an outcome, event or exact handicap/total line changes the fingerprint.</w:t>
      </w:r>
    </w:p>
    <w:p>
      <w:pPr>
        <w:pStyle w:val="ListBullet"/>
        <w:spacing w:after="40"/>
      </w:pPr>
      <w:r>
        <w:t>For exact line identity, prefer originalMarket.marketId when present.</w:t>
      </w:r>
    </w:p>
    <w:p>
      <w:pPr>
        <w:pStyle w:val="Heading1"/>
      </w:pPr>
      <w:r>
        <w:t>7. Canonical Domain Mapping</w:t>
      </w:r>
    </w:p>
    <w:p>
      <w:r>
        <w:t>Betway-specific response objects should be mapped into a small operator-neutral contract:</w:t>
      </w:r>
    </w:p>
    <w:p>
      <w:pPr>
        <w:pStyle w:val="CodeBlock"/>
        <w:keepLines/>
        <w:shd w:fill="F5F5F5"/>
      </w:pPr>
      <w:r>
        <w:rPr>
          <w:rFonts w:ascii="Consolas" w:hAnsi="Consolas"/>
          <w:sz w:val="16"/>
        </w:rPr>
        <w:t>interface Betslip {</w:t>
        <w:br/>
      </w:r>
      <w:r>
        <w:rPr>
          <w:rFonts w:ascii="Consolas" w:hAnsi="Consolas"/>
          <w:sz w:val="16"/>
        </w:rPr>
        <w:t xml:space="preserve">  operator: "betway-ng";</w:t>
        <w:br/>
      </w:r>
      <w:r>
        <w:rPr>
          <w:rFonts w:ascii="Consolas" w:hAnsi="Consolas"/>
          <w:sz w:val="16"/>
        </w:rPr>
        <w:t xml:space="preserve">  bookingCode: string;</w:t>
        <w:br/>
      </w:r>
      <w:r>
        <w:rPr>
          <w:rFonts w:ascii="Consolas" w:hAnsi="Consolas"/>
          <w:sz w:val="16"/>
        </w:rPr>
        <w:t xml:space="preserve">  betType: "single" | "multi";</w:t>
        <w:br/>
      </w:r>
      <w:r>
        <w:rPr>
          <w:rFonts w:ascii="Consolas" w:hAnsi="Consolas"/>
          <w:sz w:val="16"/>
        </w:rPr>
        <w:t xml:space="preserve">  isBuildABet: boolean;</w:t>
        <w:br/>
      </w:r>
      <w:r>
        <w:rPr>
          <w:rFonts w:ascii="Consolas" w:hAnsi="Consolas"/>
          <w:sz w:val="16"/>
        </w:rPr>
        <w:t xml:space="preserve">  selections: Selection[];</w:t>
        <w:br/>
      </w:r>
      <w:r>
        <w:rPr>
          <w:rFonts w:ascii="Consolas" w:hAnsi="Consolas"/>
          <w:sz w:val="16"/>
        </w:rPr>
        <w:t>}</w:t>
        <w:br/>
      </w:r>
      <w:r>
        <w:rPr>
          <w:rFonts w:ascii="Consolas" w:hAnsi="Consolas"/>
          <w:sz w:val="16"/>
        </w:rPr>
        <w:br/>
      </w:r>
      <w:r>
        <w:rPr>
          <w:rFonts w:ascii="Consolas" w:hAnsi="Consolas"/>
          <w:sz w:val="16"/>
        </w:rPr>
        <w:t>interface Selection {</w:t>
        <w:br/>
      </w:r>
      <w:r>
        <w:rPr>
          <w:rFonts w:ascii="Consolas" w:hAnsi="Consolas"/>
          <w:sz w:val="16"/>
        </w:rPr>
        <w:t xml:space="preserve">  eventId: string;</w:t>
        <w:br/>
      </w:r>
      <w:r>
        <w:rPr>
          <w:rFonts w:ascii="Consolas" w:hAnsi="Consolas"/>
          <w:sz w:val="16"/>
        </w:rPr>
        <w:t xml:space="preserve">  eventName: string;</w:t>
        <w:br/>
      </w:r>
      <w:r>
        <w:rPr>
          <w:rFonts w:ascii="Consolas" w:hAnsi="Consolas"/>
          <w:sz w:val="16"/>
        </w:rPr>
        <w:t xml:space="preserve">  sport: string;</w:t>
        <w:br/>
      </w:r>
      <w:r>
        <w:rPr>
          <w:rFonts w:ascii="Consolas" w:hAnsi="Consolas"/>
          <w:sz w:val="16"/>
        </w:rPr>
        <w:t xml:space="preserve">  region?: string;</w:t>
        <w:br/>
      </w:r>
      <w:r>
        <w:rPr>
          <w:rFonts w:ascii="Consolas" w:hAnsi="Consolas"/>
          <w:sz w:val="16"/>
        </w:rPr>
        <w:t xml:space="preserve">  league?: string;</w:t>
        <w:br/>
      </w:r>
      <w:r>
        <w:rPr>
          <w:rFonts w:ascii="Consolas" w:hAnsi="Consolas"/>
          <w:sz w:val="16"/>
        </w:rPr>
        <w:t xml:space="preserve">  startTime?: string;</w:t>
        <w:br/>
      </w:r>
      <w:r>
        <w:rPr>
          <w:rFonts w:ascii="Consolas" w:hAnsi="Consolas"/>
          <w:sz w:val="16"/>
        </w:rPr>
        <w:t xml:space="preserve">  marketId: string;       // exact line</w:t>
        <w:br/>
      </w:r>
      <w:r>
        <w:rPr>
          <w:rFonts w:ascii="Consolas" w:hAnsi="Consolas"/>
          <w:sz w:val="16"/>
        </w:rPr>
        <w:t xml:space="preserve">  marketName: string;</w:t>
        <w:br/>
      </w:r>
      <w:r>
        <w:rPr>
          <w:rFonts w:ascii="Consolas" w:hAnsi="Consolas"/>
          <w:sz w:val="16"/>
        </w:rPr>
        <w:t xml:space="preserve">  selectionId: string;    // outcomeId</w:t>
        <w:br/>
      </w:r>
      <w:r>
        <w:rPr>
          <w:rFonts w:ascii="Consolas" w:hAnsi="Consolas"/>
          <w:sz w:val="16"/>
        </w:rPr>
        <w:t xml:space="preserve">  selectionName: string;</w:t>
        <w:br/>
      </w:r>
      <w:r>
        <w:rPr>
          <w:rFonts w:ascii="Consolas" w:hAnsi="Consolas"/>
          <w:sz w:val="16"/>
        </w:rPr>
        <w:t xml:space="preserve">  handicap?: number | null;</w:t>
        <w:br/>
      </w:r>
      <w:r>
        <w:rPr>
          <w:rFonts w:ascii="Consolas" w:hAnsi="Consolas"/>
          <w:sz w:val="16"/>
        </w:rPr>
        <w:t xml:space="preserve">  odds: number;</w:t>
        <w:br/>
      </w:r>
      <w:r>
        <w:rPr>
          <w:rFonts w:ascii="Consolas" w:hAnsi="Consolas"/>
          <w:sz w:val="16"/>
        </w:rPr>
        <w:t xml:space="preserve">  active: boolean;</w:t>
        <w:br/>
      </w:r>
      <w:r>
        <w:rPr>
          <w:rFonts w:ascii="Consolas" w:hAnsi="Consolas"/>
          <w:sz w:val="16"/>
        </w:rPr>
        <w:t>}</w:t>
        <w:br/>
      </w:r>
    </w:p>
    <w:p>
      <w:pPr>
        <w:pStyle w:val="Heading1"/>
      </w:pPr>
      <w:r>
        <w:t>8. Recommended Backend Structure</w:t>
      </w:r>
    </w:p>
    <w:p>
      <w:pPr>
        <w:pStyle w:val="CodeBlock"/>
        <w:keepLines/>
        <w:shd w:fill="F5F5F5"/>
      </w:pPr>
      <w:r>
        <w:rPr>
          <w:rFonts w:ascii="Consolas" w:hAnsi="Consolas"/>
          <w:sz w:val="16"/>
        </w:rPr>
        <w:t>apps/api/</w:t>
        <w:br/>
      </w:r>
      <w:r>
        <w:rPr>
          <w:rFonts w:ascii="Consolas" w:hAnsi="Consolas"/>
          <w:sz w:val="16"/>
        </w:rPr>
        <w:t xml:space="preserve">  src/</w:t>
        <w:br/>
      </w:r>
      <w:r>
        <w:rPr>
          <w:rFonts w:ascii="Consolas" w:hAnsi="Consolas"/>
          <w:sz w:val="16"/>
        </w:rPr>
        <w:t xml:space="preserve">    domain/</w:t>
        <w:br/>
      </w:r>
      <w:r>
        <w:rPr>
          <w:rFonts w:ascii="Consolas" w:hAnsi="Consolas"/>
          <w:sz w:val="16"/>
        </w:rPr>
        <w:t xml:space="preserve">      betslip.ts</w:t>
        <w:br/>
      </w:r>
      <w:r>
        <w:rPr>
          <w:rFonts w:ascii="Consolas" w:hAnsi="Consolas"/>
          <w:sz w:val="16"/>
        </w:rPr>
        <w:t xml:space="preserve">      fingerprint.ts</w:t>
        <w:br/>
      </w:r>
      <w:r>
        <w:rPr>
          <w:rFonts w:ascii="Consolas" w:hAnsi="Consolas"/>
          <w:sz w:val="16"/>
        </w:rPr>
        <w:t xml:space="preserve">    operators/</w:t>
        <w:br/>
      </w:r>
      <w:r>
        <w:rPr>
          <w:rFonts w:ascii="Consolas" w:hAnsi="Consolas"/>
          <w:sz w:val="16"/>
        </w:rPr>
        <w:t xml:space="preserve">      betway/</w:t>
        <w:br/>
      </w:r>
      <w:r>
        <w:rPr>
          <w:rFonts w:ascii="Consolas" w:hAnsi="Consolas"/>
          <w:sz w:val="16"/>
        </w:rPr>
        <w:t xml:space="preserve">        betway.config.ts</w:t>
        <w:br/>
      </w:r>
      <w:r>
        <w:rPr>
          <w:rFonts w:ascii="Consolas" w:hAnsi="Consolas"/>
          <w:sz w:val="16"/>
        </w:rPr>
        <w:t xml:space="preserve">        betway.schemas.ts</w:t>
        <w:br/>
      </w:r>
      <w:r>
        <w:rPr>
          <w:rFonts w:ascii="Consolas" w:hAnsi="Consolas"/>
          <w:sz w:val="16"/>
        </w:rPr>
        <w:t xml:space="preserve">        betway.mapper.ts</w:t>
        <w:br/>
      </w:r>
      <w:r>
        <w:rPr>
          <w:rFonts w:ascii="Consolas" w:hAnsi="Consolas"/>
          <w:sz w:val="16"/>
        </w:rPr>
        <w:t xml:space="preserve">        betway.operator.ts</w:t>
        <w:br/>
      </w:r>
      <w:r>
        <w:rPr>
          <w:rFonts w:ascii="Consolas" w:hAnsi="Consolas"/>
          <w:sz w:val="16"/>
        </w:rPr>
        <w:t xml:space="preserve">    services/</w:t>
        <w:br/>
      </w:r>
      <w:r>
        <w:rPr>
          <w:rFonts w:ascii="Consolas" w:hAnsi="Consolas"/>
          <w:sz w:val="16"/>
        </w:rPr>
        <w:t xml:space="preserve">      booking.service.ts</w:t>
        <w:br/>
      </w:r>
      <w:r>
        <w:rPr>
          <w:rFonts w:ascii="Consolas" w:hAnsi="Consolas"/>
          <w:sz w:val="16"/>
        </w:rPr>
        <w:t xml:space="preserve">    routes/</w:t>
        <w:br/>
      </w:r>
      <w:r>
        <w:rPr>
          <w:rFonts w:ascii="Consolas" w:hAnsi="Consolas"/>
          <w:sz w:val="16"/>
        </w:rPr>
        <w:t xml:space="preserve">      slips.routes.ts</w:t>
        <w:br/>
      </w:r>
    </w:p>
    <w:p>
      <w:r>
        <w:t>Betway should be isolated behind an operator adapter so the rest of the application depends on the canonical contract, not Betway's private response shape.</w:t>
      </w:r>
    </w:p>
    <w:p>
      <w:pPr>
        <w:pStyle w:val="Heading1"/>
      </w:pPr>
      <w:r>
        <w:t>9. API Surface for the Assessment</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tcMar>
              <w:top w:w="55" w:type="dxa"/>
              <w:start w:w="70" w:type="dxa"/>
              <w:bottom w:w="55" w:type="dxa"/>
              <w:end w:w="70" w:type="dxa"/>
            </w:tcMar>
            <w:shd w:fill="DCE6F1"/>
          </w:tcPr>
          <w:p>
            <w:pPr>
              <w:spacing w:after="0" w:before="0"/>
            </w:pPr>
            <w:r>
              <w:rPr>
                <w:b/>
                <w:color w:val="1F3654"/>
                <w:sz w:val="16"/>
              </w:rPr>
              <w:t>Endpoint</w:t>
            </w:r>
          </w:p>
        </w:tc>
        <w:tc>
          <w:tcPr>
            <w:tcW w:type="dxa" w:w="3360"/>
            <w:vAlign w:val="center"/>
            <w:tcMar>
              <w:top w:w="55" w:type="dxa"/>
              <w:start w:w="70" w:type="dxa"/>
              <w:bottom w:w="55" w:type="dxa"/>
              <w:end w:w="70" w:type="dxa"/>
            </w:tcMar>
            <w:shd w:fill="DCE6F1"/>
          </w:tcPr>
          <w:p>
            <w:pPr>
              <w:spacing w:after="0" w:before="0"/>
            </w:pPr>
            <w:r>
              <w:rPr>
                <w:b/>
                <w:color w:val="1F3654"/>
                <w:sz w:val="16"/>
              </w:rPr>
              <w:t>Input</w:t>
            </w:r>
          </w:p>
        </w:tc>
        <w:tc>
          <w:tcPr>
            <w:tcW w:type="dxa" w:w="3360"/>
            <w:vAlign w:val="center"/>
            <w:tcMar>
              <w:top w:w="55" w:type="dxa"/>
              <w:start w:w="70" w:type="dxa"/>
              <w:bottom w:w="55" w:type="dxa"/>
              <w:end w:w="70" w:type="dxa"/>
            </w:tcMar>
            <w:shd w:fill="DCE6F1"/>
          </w:tcPr>
          <w:p>
            <w:pPr>
              <w:spacing w:after="0" w:before="0"/>
            </w:pPr>
            <w:r>
              <w:rPr>
                <w:b/>
                <w:color w:val="1F3654"/>
                <w:sz w:val="16"/>
              </w:rPr>
              <w:t>Purpose</w:t>
            </w:r>
          </w:p>
        </w:tc>
      </w:tr>
      <w:tr>
        <w:tc>
          <w:tcPr>
            <w:tcW w:type="dxa" w:w="3360"/>
            <w:vAlign w:val="center"/>
            <w:tcMar>
              <w:top w:w="55" w:type="dxa"/>
              <w:start w:w="70" w:type="dxa"/>
              <w:bottom w:w="55" w:type="dxa"/>
              <w:end w:w="70" w:type="dxa"/>
            </w:tcMar>
          </w:tcPr>
          <w:p>
            <w:pPr>
              <w:spacing w:after="0" w:before="0"/>
            </w:pPr>
            <w:r>
              <w:rPr>
                <w:sz w:val="16"/>
              </w:rPr>
              <w:t>POST /api/v1/slips/decode</w:t>
            </w:r>
          </w:p>
        </w:tc>
        <w:tc>
          <w:tcPr>
            <w:tcW w:type="dxa" w:w="3360"/>
            <w:vAlign w:val="center"/>
            <w:tcMar>
              <w:top w:w="55" w:type="dxa"/>
              <w:start w:w="70" w:type="dxa"/>
              <w:bottom w:w="55" w:type="dxa"/>
              <w:end w:w="70" w:type="dxa"/>
            </w:tcMar>
          </w:tcPr>
          <w:p>
            <w:pPr>
              <w:spacing w:after="0" w:before="0"/>
            </w:pPr>
            <w:r>
              <w:rPr>
                <w:sz w:val="16"/>
              </w:rPr>
              <w:t>{ bookingCode }</w:t>
            </w:r>
          </w:p>
        </w:tc>
        <w:tc>
          <w:tcPr>
            <w:tcW w:type="dxa" w:w="3360"/>
            <w:vAlign w:val="center"/>
            <w:tcMar>
              <w:top w:w="55" w:type="dxa"/>
              <w:start w:w="70" w:type="dxa"/>
              <w:bottom w:w="55" w:type="dxa"/>
              <w:end w:w="70" w:type="dxa"/>
            </w:tcMar>
          </w:tcPr>
          <w:p>
            <w:pPr>
              <w:spacing w:after="0" w:before="0"/>
            </w:pPr>
            <w:r>
              <w:rPr>
                <w:sz w:val="16"/>
              </w:rPr>
              <w:t>Decode into canonical slip + fingerprint</w:t>
            </w:r>
          </w:p>
        </w:tc>
      </w:tr>
      <w:tr>
        <w:tc>
          <w:tcPr>
            <w:tcW w:type="dxa" w:w="3360"/>
            <w:vAlign w:val="center"/>
            <w:tcMar>
              <w:top w:w="55" w:type="dxa"/>
              <w:start w:w="70" w:type="dxa"/>
              <w:bottom w:w="55" w:type="dxa"/>
              <w:end w:w="70" w:type="dxa"/>
            </w:tcMar>
          </w:tcPr>
          <w:p>
            <w:pPr>
              <w:spacing w:after="0" w:before="0"/>
            </w:pPr>
            <w:r>
              <w:rPr>
                <w:sz w:val="16"/>
              </w:rPr>
              <w:t>POST /api/v1/slips/encode</w:t>
            </w:r>
          </w:p>
        </w:tc>
        <w:tc>
          <w:tcPr>
            <w:tcW w:type="dxa" w:w="3360"/>
            <w:vAlign w:val="center"/>
            <w:tcMar>
              <w:top w:w="55" w:type="dxa"/>
              <w:start w:w="70" w:type="dxa"/>
              <w:bottom w:w="55" w:type="dxa"/>
              <w:end w:w="70" w:type="dxa"/>
            </w:tcMar>
          </w:tcPr>
          <w:p>
            <w:pPr>
              <w:spacing w:after="0" w:before="0"/>
            </w:pPr>
            <w:r>
              <w:rPr>
                <w:sz w:val="16"/>
              </w:rPr>
              <w:t>{ selections, betType }</w:t>
            </w:r>
          </w:p>
        </w:tc>
        <w:tc>
          <w:tcPr>
            <w:tcW w:type="dxa" w:w="3360"/>
            <w:vAlign w:val="center"/>
            <w:tcMar>
              <w:top w:w="55" w:type="dxa"/>
              <w:start w:w="70" w:type="dxa"/>
              <w:bottom w:w="55" w:type="dxa"/>
              <w:end w:w="70" w:type="dxa"/>
            </w:tcMar>
          </w:tcPr>
          <w:p>
            <w:pPr>
              <w:spacing w:after="0" w:before="0"/>
            </w:pPr>
            <w:r>
              <w:rPr>
                <w:sz w:val="16"/>
              </w:rPr>
              <w:t>Create a new Betway booking code</w:t>
            </w:r>
          </w:p>
        </w:tc>
      </w:tr>
      <w:tr>
        <w:tc>
          <w:tcPr>
            <w:tcW w:type="dxa" w:w="3360"/>
            <w:vAlign w:val="center"/>
            <w:tcMar>
              <w:top w:w="55" w:type="dxa"/>
              <w:start w:w="70" w:type="dxa"/>
              <w:bottom w:w="55" w:type="dxa"/>
              <w:end w:w="70" w:type="dxa"/>
            </w:tcMar>
          </w:tcPr>
          <w:p>
            <w:pPr>
              <w:spacing w:after="0" w:before="0"/>
            </w:pPr>
            <w:r>
              <w:rPr>
                <w:sz w:val="16"/>
              </w:rPr>
              <w:t>POST /api/v1/slips/convert</w:t>
            </w:r>
          </w:p>
        </w:tc>
        <w:tc>
          <w:tcPr>
            <w:tcW w:type="dxa" w:w="3360"/>
            <w:vAlign w:val="center"/>
            <w:tcMar>
              <w:top w:w="55" w:type="dxa"/>
              <w:start w:w="70" w:type="dxa"/>
              <w:bottom w:w="55" w:type="dxa"/>
              <w:end w:w="70" w:type="dxa"/>
            </w:tcMar>
          </w:tcPr>
          <w:p>
            <w:pPr>
              <w:spacing w:after="0" w:before="0"/>
            </w:pPr>
            <w:r>
              <w:rPr>
                <w:sz w:val="16"/>
              </w:rPr>
              <w:t>{ bookingCode }</w:t>
            </w:r>
          </w:p>
        </w:tc>
        <w:tc>
          <w:tcPr>
            <w:tcW w:type="dxa" w:w="3360"/>
            <w:vAlign w:val="center"/>
            <w:tcMar>
              <w:top w:w="55" w:type="dxa"/>
              <w:start w:w="70" w:type="dxa"/>
              <w:bottom w:w="55" w:type="dxa"/>
              <w:end w:w="70" w:type="dxa"/>
            </w:tcMar>
          </w:tcPr>
          <w:p>
            <w:pPr>
              <w:spacing w:after="0" w:before="0"/>
            </w:pPr>
            <w:r>
              <w:rPr>
                <w:sz w:val="16"/>
              </w:rPr>
              <w:t>Decode → encode → re-decode → parity verification</w:t>
            </w:r>
          </w:p>
        </w:tc>
      </w:tr>
    </w:tbl>
    <w:p>
      <w:pPr>
        <w:pStyle w:val="Heading1"/>
      </w:pPr>
      <w:r>
        <w:t>10. Database / Audit Plan</w:t>
      </w:r>
    </w:p>
    <w:p>
      <w:r>
        <w:t>Betway remains the live source of truth. PostgreSQL is useful for auditability and reproducibility, not for replacing live operator data.</w:t>
      </w:r>
    </w:p>
    <w:p>
      <w:pPr>
        <w:pStyle w:val="ListBullet"/>
        <w:spacing w:after="40"/>
      </w:pPr>
      <w:r>
        <w:t>SlipSnapshot: operator, bookingCode, fingerprint, normalized canonical JSON, capturedAt.</w:t>
      </w:r>
    </w:p>
    <w:p>
      <w:pPr>
        <w:pStyle w:val="ListBullet"/>
        <w:spacing w:after="40"/>
      </w:pPr>
      <w:r>
        <w:t>ConversionRun: sourceCode, targetCode, sourceFingerprint, targetFingerprint, verified, createdAt.</w:t>
      </w:r>
    </w:p>
    <w:p>
      <w:pPr>
        <w:pStyle w:val="ListBullet"/>
        <w:spacing w:after="40"/>
      </w:pPr>
      <w:r>
        <w:t>Do not persist browser cookies, authorization headers, passwords or account IDs.</w:t>
      </w:r>
    </w:p>
    <w:p>
      <w:pPr>
        <w:pStyle w:val="ListBullet"/>
        <w:spacing w:after="40"/>
      </w:pPr>
      <w:r>
        <w:t>Redis is not required for this one-day MVP; short-lived caching can be added later where safe.</w:t>
      </w:r>
    </w:p>
    <w:p>
      <w:pPr>
        <w:pStyle w:val="Heading1"/>
      </w:pPr>
      <w:r>
        <w:t>11. Security and Privacy Notes</w:t>
      </w:r>
    </w:p>
    <w:tbl>
      <w:tblPr>
        <w:tblW w:type="auto" w:w="0"/>
        <w:jc w:val="center"/>
        <w:tblLayout w:type="autofit"/>
        <w:tblLook w:firstColumn="1" w:firstRow="1" w:lastColumn="0" w:lastRow="0" w:noHBand="0" w:noVBand="1" w:val="04A0"/>
      </w:tblPr>
      <w:tblGrid>
        <w:gridCol w:w="10080"/>
      </w:tblGrid>
      <w:tr>
        <w:tc>
          <w:tcPr>
            <w:tcW w:type="dxa" w:w="10080"/>
            <w:shd w:fill="FFF2CC"/>
            <w:tcMar>
              <w:top w:w="110" w:type="dxa"/>
              <w:start w:w="120" w:type="dxa"/>
              <w:bottom w:w="110" w:type="dxa"/>
              <w:end w:w="120" w:type="dxa"/>
            </w:tcMar>
          </w:tcPr>
          <w:p>
            <w:r>
              <w:rPr>
                <w:b/>
                <w:color w:val="2F5496"/>
                <w:sz w:val="20"/>
              </w:rPr>
              <w:t>Important</w:t>
            </w:r>
            <w:r>
              <w:br/>
              <w:t>Raw browser cURL captures contained session/analytics cookies during reconnaissance. Those values must never be committed to the repository, pasted into documentation, or used as application configuration. Raw source.json also contained a real account identifier and should not be committed. Use sanitized fixtures only.</w:t>
            </w:r>
          </w:p>
        </w:tc>
      </w:tr>
    </w:tbl>
    <w:p>
      <w:pPr>
        <w:spacing w:after="0"/>
      </w:pPr>
    </w:p>
    <w:p>
      <w:pPr>
        <w:pStyle w:val="ListBullet"/>
        <w:spacing w:after="40"/>
      </w:pPr>
      <w:r>
        <w:t>Keep Betway integration server-side; the web/mobile clients call the MatchCorner backend.</w:t>
      </w:r>
    </w:p>
    <w:p>
      <w:pPr>
        <w:pStyle w:val="ListBullet"/>
        <w:spacing w:after="40"/>
      </w:pPr>
      <w:r>
        <w:t>Use environment variables for base URL, brand ID, country code and culture code.</w:t>
      </w:r>
    </w:p>
    <w:p>
      <w:pPr>
        <w:pStyle w:val="ListBullet"/>
        <w:spacing w:after="40"/>
      </w:pPr>
      <w:r>
        <w:t>Apply request timeouts and normalize upstream errors.</w:t>
      </w:r>
    </w:p>
    <w:p>
      <w:pPr>
        <w:pStyle w:val="ListBullet"/>
        <w:spacing w:after="40"/>
      </w:pPr>
      <w:r>
        <w:t>Validate only consumed response fields; tolerate unrelated upstream fields.</w:t>
      </w:r>
    </w:p>
    <w:p>
      <w:pPr>
        <w:pStyle w:val="ListBullet"/>
        <w:spacing w:after="40"/>
      </w:pPr>
      <w:r>
        <w:t>Redact sensitive values from logs and test fixtures.</w:t>
      </w:r>
    </w:p>
    <w:p>
      <w:pPr>
        <w:pStyle w:val="Heading1"/>
      </w:pPr>
      <w:r>
        <w:t>12. Git Workflow / Evidence Plan</w:t>
      </w:r>
    </w:p>
    <w:p>
      <w:r>
        <w:t>The repository should preserve real development history. The entries below are recommended commit boundaries; only create commits when the corresponding work is actually complete.</w:t>
      </w:r>
    </w:p>
    <w:p>
      <w:pPr>
        <w:pStyle w:val="ListBullet"/>
      </w:pPr>
      <w:r>
        <w:rPr>
          <w:rFonts w:ascii="Consolas" w:hAnsi="Consolas"/>
          <w:sz w:val="17"/>
        </w:rPr>
        <w:t>docs: capture Betway booking-code reconnaissance</w:t>
      </w:r>
    </w:p>
    <w:p>
      <w:pPr>
        <w:pStyle w:val="ListBullet"/>
      </w:pPr>
      <w:r>
        <w:rPr>
          <w:rFonts w:ascii="Consolas" w:hAnsi="Consolas"/>
          <w:sz w:val="17"/>
        </w:rPr>
        <w:t>chore: bootstrap full-stack monorepo</w:t>
      </w:r>
    </w:p>
    <w:p>
      <w:pPr>
        <w:pStyle w:val="ListBullet"/>
      </w:pPr>
      <w:r>
        <w:rPr>
          <w:rFonts w:ascii="Consolas" w:hAnsi="Consolas"/>
          <w:sz w:val="17"/>
        </w:rPr>
        <w:t>feat(core): define canonical betslip contract</w:t>
      </w:r>
    </w:p>
    <w:p>
      <w:pPr>
        <w:pStyle w:val="ListBullet"/>
      </w:pPr>
      <w:r>
        <w:rPr>
          <w:rFonts w:ascii="Consolas" w:hAnsi="Consolas"/>
          <w:sz w:val="17"/>
        </w:rPr>
        <w:t>feat(api): decode Betway booking codes</w:t>
      </w:r>
    </w:p>
    <w:p>
      <w:pPr>
        <w:pStyle w:val="ListBullet"/>
      </w:pPr>
      <w:r>
        <w:rPr>
          <w:rFonts w:ascii="Consolas" w:hAnsi="Consolas"/>
          <w:sz w:val="17"/>
        </w:rPr>
        <w:t>docs: verify Betway booking-code creation contract</w:t>
      </w:r>
    </w:p>
    <w:p>
      <w:pPr>
        <w:pStyle w:val="ListBullet"/>
      </w:pPr>
      <w:r>
        <w:rPr>
          <w:rFonts w:ascii="Consolas" w:hAnsi="Consolas"/>
          <w:sz w:val="17"/>
        </w:rPr>
        <w:t>feat(api): encode selections into Betway booking codes</w:t>
      </w:r>
    </w:p>
    <w:p>
      <w:pPr>
        <w:pStyle w:val="ListBullet"/>
      </w:pPr>
      <w:r>
        <w:rPr>
          <w:rFonts w:ascii="Consolas" w:hAnsi="Consolas"/>
          <w:sz w:val="17"/>
        </w:rPr>
        <w:t>feat(api): convert slips with parity verification</w:t>
      </w:r>
    </w:p>
    <w:p>
      <w:pPr>
        <w:pStyle w:val="ListBullet"/>
      </w:pPr>
      <w:r>
        <w:rPr>
          <w:rFonts w:ascii="Consolas" w:hAnsi="Consolas"/>
          <w:sz w:val="17"/>
        </w:rPr>
        <w:t>feat(db): persist slip snapshots and conversion audits</w:t>
      </w:r>
    </w:p>
    <w:p>
      <w:pPr>
        <w:pStyle w:val="ListBullet"/>
      </w:pPr>
      <w:r>
        <w:rPr>
          <w:rFonts w:ascii="Consolas" w:hAnsi="Consolas"/>
          <w:sz w:val="17"/>
        </w:rPr>
        <w:t>feat(web): add decode encode convert workspace</w:t>
      </w:r>
    </w:p>
    <w:p>
      <w:pPr>
        <w:pStyle w:val="ListBullet"/>
      </w:pPr>
      <w:r>
        <w:rPr>
          <w:rFonts w:ascii="Consolas" w:hAnsi="Consolas"/>
          <w:sz w:val="17"/>
        </w:rPr>
        <w:t>feat(mobile): add Flutter betslip viewer</w:t>
      </w:r>
    </w:p>
    <w:p>
      <w:pPr>
        <w:pStyle w:val="ListBullet"/>
      </w:pPr>
      <w:r>
        <w:rPr>
          <w:rFonts w:ascii="Consolas" w:hAnsi="Consolas"/>
          <w:sz w:val="17"/>
        </w:rPr>
        <w:t>test: add booking-code contract and parity coverage</w:t>
      </w:r>
    </w:p>
    <w:p>
      <w:pPr>
        <w:pStyle w:val="ListBullet"/>
      </w:pPr>
      <w:r>
        <w:rPr>
          <w:rFonts w:ascii="Consolas" w:hAnsi="Consolas"/>
          <w:sz w:val="17"/>
        </w:rPr>
        <w:t>ci: add quality gates and production deployment config</w:t>
      </w:r>
    </w:p>
    <w:p>
      <w:pPr>
        <w:pStyle w:val="ListBullet"/>
      </w:pPr>
      <w:r>
        <w:rPr>
          <w:rFonts w:ascii="Consolas" w:hAnsi="Consolas"/>
          <w:sz w:val="17"/>
        </w:rPr>
        <w:t>docs: add architecture runbook and submission evidence</w:t>
      </w:r>
    </w:p>
    <w:p>
      <w:pPr>
        <w:pStyle w:val="Heading1"/>
      </w:pPr>
      <w:r>
        <w:t>13. Architecture Note (Mermaid)</w:t>
      </w:r>
    </w:p>
    <w:p>
      <w:pPr>
        <w:pStyle w:val="CodeBlock"/>
        <w:keepLines/>
        <w:shd w:fill="F5F5F5"/>
      </w:pPr>
      <w:r>
        <w:rPr>
          <w:rFonts w:ascii="Consolas" w:hAnsi="Consolas"/>
          <w:sz w:val="16"/>
        </w:rPr>
        <w:t>flowchart LR</w:t>
        <w:br/>
      </w:r>
      <w:r>
        <w:rPr>
          <w:rFonts w:ascii="Consolas" w:hAnsi="Consolas"/>
          <w:sz w:val="16"/>
        </w:rPr>
        <w:t xml:space="preserve">  W[Web / Next.js] --&gt; A[Node.js API]</w:t>
        <w:br/>
      </w:r>
      <w:r>
        <w:rPr>
          <w:rFonts w:ascii="Consolas" w:hAnsi="Consolas"/>
          <w:sz w:val="16"/>
        </w:rPr>
        <w:t xml:space="preserve">  M[Flutter App] --&gt; A</w:t>
        <w:br/>
      </w:r>
      <w:r>
        <w:rPr>
          <w:rFonts w:ascii="Consolas" w:hAnsi="Consolas"/>
          <w:sz w:val="16"/>
        </w:rPr>
        <w:t xml:space="preserve">  A --&gt; S[Booking Service]</w:t>
        <w:br/>
      </w:r>
      <w:r>
        <w:rPr>
          <w:rFonts w:ascii="Consolas" w:hAnsi="Consolas"/>
          <w:sz w:val="16"/>
        </w:rPr>
        <w:t xml:space="preserve">  S --&gt; O[BookingOperator Interface]</w:t>
        <w:br/>
      </w:r>
      <w:r>
        <w:rPr>
          <w:rFonts w:ascii="Consolas" w:hAnsi="Consolas"/>
          <w:sz w:val="16"/>
        </w:rPr>
        <w:t xml:space="preserve">  O --&gt; B[Betway Nigeria Adapter]</w:t>
        <w:br/>
      </w:r>
      <w:r>
        <w:rPr>
          <w:rFonts w:ascii="Consolas" w:hAnsi="Consolas"/>
          <w:sz w:val="16"/>
        </w:rPr>
        <w:t xml:space="preserve">  B --&gt; D[FindBookABet]</w:t>
        <w:br/>
      </w:r>
      <w:r>
        <w:rPr>
          <w:rFonts w:ascii="Consolas" w:hAnsi="Consolas"/>
          <w:sz w:val="16"/>
        </w:rPr>
        <w:t xml:space="preserve">  B --&gt; E[BookABet]</w:t>
        <w:br/>
      </w:r>
      <w:r>
        <w:rPr>
          <w:rFonts w:ascii="Consolas" w:hAnsi="Consolas"/>
          <w:sz w:val="16"/>
        </w:rPr>
        <w:t xml:space="preserve">  S --&gt; P[(PostgreSQL Audit)]</w:t>
        <w:br/>
      </w:r>
      <w:r>
        <w:rPr>
          <w:rFonts w:ascii="Consolas" w:hAnsi="Consolas"/>
          <w:sz w:val="16"/>
        </w:rPr>
        <w:t xml:space="preserve">  S --&gt; V[Parity / Fingerprint Verifier]</w:t>
        <w:br/>
      </w:r>
    </w:p>
    <w:p>
      <w:pPr>
        <w:pStyle w:val="Heading1"/>
      </w:pPr>
      <w:r>
        <w:t>14. Remaining Work</w:t>
      </w:r>
    </w:p>
    <w:p>
      <w:pPr>
        <w:pStyle w:val="ListBullet"/>
        <w:spacing w:after="40"/>
      </w:pPr>
      <w:r>
        <w:t>Implement the discovered Decode and Encode contracts in the backend adapter.</w:t>
      </w:r>
    </w:p>
    <w:p>
      <w:pPr>
        <w:pStyle w:val="ListBullet"/>
        <w:spacing w:after="40"/>
      </w:pPr>
      <w:r>
        <w:t>Implement Convert with mandatory post-generation re-decode and fingerprint verification.</w:t>
      </w:r>
    </w:p>
    <w:p>
      <w:pPr>
        <w:pStyle w:val="ListBullet"/>
        <w:spacing w:after="40"/>
      </w:pPr>
      <w:r>
        <w:t>Add Zod schemas, timeout/error normalization and automated tests.</w:t>
      </w:r>
    </w:p>
    <w:p>
      <w:pPr>
        <w:pStyle w:val="ListBullet"/>
        <w:spacing w:after="40"/>
      </w:pPr>
      <w:r>
        <w:t>Persist sanitized slip/conversion audit records in PostgreSQL.</w:t>
      </w:r>
    </w:p>
    <w:p>
      <w:pPr>
        <w:pStyle w:val="ListBullet"/>
        <w:spacing w:after="40"/>
      </w:pPr>
      <w:r>
        <w:t>Build the web Decode / Encode / Convert workspace.</w:t>
      </w:r>
    </w:p>
    <w:p>
      <w:pPr>
        <w:pStyle w:val="ListBullet"/>
        <w:spacing w:after="40"/>
      </w:pPr>
      <w:r>
        <w:t>Build the Flutter slip viewer and distribute the APK.</w:t>
      </w:r>
    </w:p>
    <w:p>
      <w:pPr>
        <w:pStyle w:val="ListBullet"/>
        <w:spacing w:after="40"/>
      </w:pPr>
      <w:r>
        <w:t>Deploy the live application and verify the production URLs.</w:t>
      </w:r>
    </w:p>
    <w:p>
      <w:pPr>
        <w:pStyle w:val="ListBullet"/>
        <w:spacing w:after="40"/>
      </w:pPr>
      <w:r>
        <w:t>Record the final five-minute walkthrough and attach final evidence.</w:t>
      </w:r>
    </w:p>
    <w:p>
      <w:pPr>
        <w:pStyle w:val="Heading1"/>
      </w:pPr>
      <w:r>
        <w:t>15. Submission Evidence Checklist</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tcMar>
              <w:top w:w="55" w:type="dxa"/>
              <w:start w:w="70" w:type="dxa"/>
              <w:bottom w:w="55" w:type="dxa"/>
              <w:end w:w="70" w:type="dxa"/>
            </w:tcMar>
            <w:shd w:fill="DCE6F1"/>
          </w:tcPr>
          <w:p>
            <w:pPr>
              <w:spacing w:after="0" w:before="0"/>
            </w:pPr>
            <w:r>
              <w:rPr>
                <w:b/>
                <w:color w:val="1F3654"/>
                <w:sz w:val="16"/>
              </w:rPr>
              <w:t>Evidence</w:t>
            </w:r>
          </w:p>
        </w:tc>
        <w:tc>
          <w:tcPr>
            <w:tcW w:type="dxa" w:w="3360"/>
            <w:vAlign w:val="center"/>
            <w:tcMar>
              <w:top w:w="55" w:type="dxa"/>
              <w:start w:w="70" w:type="dxa"/>
              <w:bottom w:w="55" w:type="dxa"/>
              <w:end w:w="70" w:type="dxa"/>
            </w:tcMar>
            <w:shd w:fill="DCE6F1"/>
          </w:tcPr>
          <w:p>
            <w:pPr>
              <w:spacing w:after="0" w:before="0"/>
            </w:pPr>
            <w:r>
              <w:rPr>
                <w:b/>
                <w:color w:val="1F3654"/>
                <w:sz w:val="16"/>
              </w:rPr>
              <w:t>Result / artifact</w:t>
            </w:r>
          </w:p>
        </w:tc>
        <w:tc>
          <w:tcPr>
            <w:tcW w:type="dxa" w:w="3360"/>
            <w:vAlign w:val="center"/>
            <w:tcMar>
              <w:top w:w="55" w:type="dxa"/>
              <w:start w:w="70" w:type="dxa"/>
              <w:bottom w:w="55" w:type="dxa"/>
              <w:end w:w="70" w:type="dxa"/>
            </w:tcMar>
            <w:shd w:fill="DCE6F1"/>
          </w:tcPr>
          <w:p>
            <w:pPr>
              <w:spacing w:after="0" w:before="0"/>
            </w:pPr>
            <w:r>
              <w:rPr>
                <w:b/>
                <w:color w:val="1F3654"/>
                <w:sz w:val="16"/>
              </w:rPr>
              <w:t>Status</w:t>
            </w:r>
          </w:p>
        </w:tc>
      </w:tr>
      <w:tr>
        <w:tc>
          <w:tcPr>
            <w:tcW w:type="dxa" w:w="3360"/>
            <w:vAlign w:val="center"/>
            <w:tcMar>
              <w:top w:w="55" w:type="dxa"/>
              <w:start w:w="70" w:type="dxa"/>
              <w:bottom w:w="55" w:type="dxa"/>
              <w:end w:w="70" w:type="dxa"/>
            </w:tcMar>
          </w:tcPr>
          <w:p>
            <w:pPr>
              <w:spacing w:after="0" w:before="0"/>
            </w:pPr>
            <w:r>
              <w:rPr>
                <w:sz w:val="16"/>
              </w:rPr>
              <w:t>Generated Betway code</w:t>
            </w:r>
          </w:p>
        </w:tc>
        <w:tc>
          <w:tcPr>
            <w:tcW w:type="dxa" w:w="3360"/>
            <w:vAlign w:val="center"/>
            <w:tcMar>
              <w:top w:w="55" w:type="dxa"/>
              <w:start w:w="70" w:type="dxa"/>
              <w:bottom w:w="55" w:type="dxa"/>
              <w:end w:w="70" w:type="dxa"/>
            </w:tcMar>
          </w:tcPr>
          <w:p>
            <w:pPr>
              <w:spacing w:after="0" w:before="0"/>
            </w:pPr>
            <w:r>
              <w:rPr>
                <w:sz w:val="16"/>
              </w:rPr>
              <w:t>BW69DC9F6B</w:t>
            </w:r>
          </w:p>
        </w:tc>
        <w:tc>
          <w:tcPr>
            <w:tcW w:type="dxa" w:w="3360"/>
            <w:vAlign w:val="center"/>
            <w:tcMar>
              <w:top w:w="55" w:type="dxa"/>
              <w:start w:w="70" w:type="dxa"/>
              <w:bottom w:w="55" w:type="dxa"/>
              <w:end w:w="70" w:type="dxa"/>
            </w:tcMar>
          </w:tcPr>
          <w:p>
            <w:pPr>
              <w:spacing w:after="0" w:before="0"/>
            </w:pPr>
            <w:r>
              <w:rPr>
                <w:sz w:val="16"/>
              </w:rPr>
              <w:t>Complete</w:t>
            </w:r>
          </w:p>
        </w:tc>
      </w:tr>
      <w:tr>
        <w:tc>
          <w:tcPr>
            <w:tcW w:type="dxa" w:w="3360"/>
            <w:vAlign w:val="center"/>
            <w:tcMar>
              <w:top w:w="55" w:type="dxa"/>
              <w:start w:w="70" w:type="dxa"/>
              <w:bottom w:w="55" w:type="dxa"/>
              <w:end w:w="70" w:type="dxa"/>
            </w:tcMar>
          </w:tcPr>
          <w:p>
            <w:pPr>
              <w:spacing w:after="0" w:before="0"/>
            </w:pPr>
            <w:r>
              <w:rPr>
                <w:sz w:val="16"/>
              </w:rPr>
              <w:t>API decode of generated code</w:t>
            </w:r>
          </w:p>
        </w:tc>
        <w:tc>
          <w:tcPr>
            <w:tcW w:type="dxa" w:w="3360"/>
            <w:vAlign w:val="center"/>
            <w:tcMar>
              <w:top w:w="55" w:type="dxa"/>
              <w:start w:w="70" w:type="dxa"/>
              <w:bottom w:w="55" w:type="dxa"/>
              <w:end w:w="70" w:type="dxa"/>
            </w:tcMar>
          </w:tcPr>
          <w:p>
            <w:pPr>
              <w:spacing w:after="0" w:before="0"/>
            </w:pPr>
            <w:r>
              <w:rPr>
                <w:sz w:val="16"/>
              </w:rPr>
              <w:t>4/4 selections</w:t>
            </w:r>
          </w:p>
        </w:tc>
        <w:tc>
          <w:tcPr>
            <w:tcW w:type="dxa" w:w="3360"/>
            <w:vAlign w:val="center"/>
            <w:tcMar>
              <w:top w:w="55" w:type="dxa"/>
              <w:start w:w="70" w:type="dxa"/>
              <w:bottom w:w="55" w:type="dxa"/>
              <w:end w:w="70" w:type="dxa"/>
            </w:tcMar>
          </w:tcPr>
          <w:p>
            <w:pPr>
              <w:spacing w:after="0" w:before="0"/>
            </w:pPr>
            <w:r>
              <w:rPr>
                <w:sz w:val="16"/>
              </w:rPr>
              <w:t>Complete</w:t>
            </w:r>
          </w:p>
        </w:tc>
      </w:tr>
      <w:tr>
        <w:tc>
          <w:tcPr>
            <w:tcW w:type="dxa" w:w="3360"/>
            <w:vAlign w:val="center"/>
            <w:tcMar>
              <w:top w:w="55" w:type="dxa"/>
              <w:start w:w="70" w:type="dxa"/>
              <w:bottom w:w="55" w:type="dxa"/>
              <w:end w:w="70" w:type="dxa"/>
            </w:tcMar>
          </w:tcPr>
          <w:p>
            <w:pPr>
              <w:spacing w:after="0" w:before="0"/>
            </w:pPr>
            <w:r>
              <w:rPr>
                <w:sz w:val="16"/>
              </w:rPr>
              <w:t>Stable identity parity</w:t>
            </w:r>
          </w:p>
        </w:tc>
        <w:tc>
          <w:tcPr>
            <w:tcW w:type="dxa" w:w="3360"/>
            <w:vAlign w:val="center"/>
            <w:tcMar>
              <w:top w:w="55" w:type="dxa"/>
              <w:start w:w="70" w:type="dxa"/>
              <w:bottom w:w="55" w:type="dxa"/>
              <w:end w:w="70" w:type="dxa"/>
            </w:tcMar>
          </w:tcPr>
          <w:p>
            <w:pPr>
              <w:spacing w:after="0" w:before="0"/>
            </w:pPr>
            <w:r>
              <w:rPr>
                <w:sz w:val="16"/>
              </w:rPr>
              <w:t>event + exact market + outcome</w:t>
            </w:r>
          </w:p>
        </w:tc>
        <w:tc>
          <w:tcPr>
            <w:tcW w:type="dxa" w:w="3360"/>
            <w:vAlign w:val="center"/>
            <w:tcMar>
              <w:top w:w="55" w:type="dxa"/>
              <w:start w:w="70" w:type="dxa"/>
              <w:bottom w:w="55" w:type="dxa"/>
              <w:end w:w="70" w:type="dxa"/>
            </w:tcMar>
          </w:tcPr>
          <w:p>
            <w:pPr>
              <w:spacing w:after="0" w:before="0"/>
            </w:pPr>
            <w:r>
              <w:rPr>
                <w:sz w:val="16"/>
              </w:rPr>
              <w:t>Complete</w:t>
            </w:r>
          </w:p>
        </w:tc>
      </w:tr>
      <w:tr>
        <w:tc>
          <w:tcPr>
            <w:tcW w:type="dxa" w:w="3360"/>
            <w:vAlign w:val="center"/>
            <w:tcMar>
              <w:top w:w="55" w:type="dxa"/>
              <w:start w:w="70" w:type="dxa"/>
              <w:bottom w:w="55" w:type="dxa"/>
              <w:end w:w="70" w:type="dxa"/>
            </w:tcMar>
          </w:tcPr>
          <w:p>
            <w:pPr>
              <w:spacing w:after="0" w:before="0"/>
            </w:pPr>
            <w:r>
              <w:rPr>
                <w:sz w:val="16"/>
              </w:rPr>
              <w:t>Betway UI verification</w:t>
            </w:r>
          </w:p>
        </w:tc>
        <w:tc>
          <w:tcPr>
            <w:tcW w:type="dxa" w:w="3360"/>
            <w:vAlign w:val="center"/>
            <w:tcMar>
              <w:top w:w="55" w:type="dxa"/>
              <w:start w:w="70" w:type="dxa"/>
              <w:bottom w:w="55" w:type="dxa"/>
              <w:end w:w="70" w:type="dxa"/>
            </w:tcMar>
          </w:tcPr>
          <w:p>
            <w:pPr>
              <w:spacing w:after="0" w:before="0"/>
            </w:pPr>
            <w:r>
              <w:rPr>
                <w:sz w:val="16"/>
              </w:rPr>
              <w:t>Screenshot captured</w:t>
            </w:r>
          </w:p>
        </w:tc>
        <w:tc>
          <w:tcPr>
            <w:tcW w:type="dxa" w:w="3360"/>
            <w:vAlign w:val="center"/>
            <w:tcMar>
              <w:top w:w="55" w:type="dxa"/>
              <w:start w:w="70" w:type="dxa"/>
              <w:bottom w:w="55" w:type="dxa"/>
              <w:end w:w="70" w:type="dxa"/>
            </w:tcMar>
          </w:tcPr>
          <w:p>
            <w:pPr>
              <w:spacing w:after="0" w:before="0"/>
            </w:pPr>
            <w:r>
              <w:rPr>
                <w:sz w:val="16"/>
              </w:rPr>
              <w:t>Complete</w:t>
            </w:r>
          </w:p>
        </w:tc>
      </w:tr>
      <w:tr>
        <w:tc>
          <w:tcPr>
            <w:tcW w:type="dxa" w:w="3360"/>
            <w:vAlign w:val="center"/>
            <w:tcMar>
              <w:top w:w="55" w:type="dxa"/>
              <w:start w:w="70" w:type="dxa"/>
              <w:bottom w:w="55" w:type="dxa"/>
              <w:end w:w="70" w:type="dxa"/>
            </w:tcMar>
          </w:tcPr>
          <w:p>
            <w:pPr>
              <w:spacing w:after="0" w:before="0"/>
            </w:pPr>
            <w:r>
              <w:rPr>
                <w:sz w:val="16"/>
              </w:rPr>
              <w:t>GitHub repository</w:t>
            </w:r>
          </w:p>
        </w:tc>
        <w:tc>
          <w:tcPr>
            <w:tcW w:type="dxa" w:w="3360"/>
            <w:vAlign w:val="center"/>
            <w:tcMar>
              <w:top w:w="55" w:type="dxa"/>
              <w:start w:w="70" w:type="dxa"/>
              <w:bottom w:w="55" w:type="dxa"/>
              <w:end w:w="70" w:type="dxa"/>
            </w:tcMar>
          </w:tcPr>
          <w:p>
            <w:pPr>
              <w:spacing w:after="0" w:before="0"/>
            </w:pPr>
            <w:r>
              <w:rPr>
                <w:sz w:val="16"/>
              </w:rPr>
              <w:t>Real commit history</w:t>
            </w:r>
          </w:p>
        </w:tc>
        <w:tc>
          <w:tcPr>
            <w:tcW w:type="dxa" w:w="3360"/>
            <w:vAlign w:val="center"/>
            <w:tcMar>
              <w:top w:w="55" w:type="dxa"/>
              <w:start w:w="70" w:type="dxa"/>
              <w:bottom w:w="55" w:type="dxa"/>
              <w:end w:w="70" w:type="dxa"/>
            </w:tcMar>
          </w:tcPr>
          <w:p>
            <w:pPr>
              <w:spacing w:after="0" w:before="0"/>
            </w:pPr>
            <w:r>
              <w:rPr>
                <w:sz w:val="16"/>
              </w:rPr>
              <w:t>Pending / in progress</w:t>
            </w:r>
          </w:p>
        </w:tc>
      </w:tr>
      <w:tr>
        <w:tc>
          <w:tcPr>
            <w:tcW w:type="dxa" w:w="3360"/>
            <w:vAlign w:val="center"/>
            <w:tcMar>
              <w:top w:w="55" w:type="dxa"/>
              <w:start w:w="70" w:type="dxa"/>
              <w:bottom w:w="55" w:type="dxa"/>
              <w:end w:w="70" w:type="dxa"/>
            </w:tcMar>
          </w:tcPr>
          <w:p>
            <w:pPr>
              <w:spacing w:after="0" w:before="0"/>
            </w:pPr>
            <w:r>
              <w:rPr>
                <w:sz w:val="16"/>
              </w:rPr>
              <w:t>Live web URL</w:t>
            </w:r>
          </w:p>
        </w:tc>
        <w:tc>
          <w:tcPr>
            <w:tcW w:type="dxa" w:w="3360"/>
            <w:vAlign w:val="center"/>
            <w:tcMar>
              <w:top w:w="55" w:type="dxa"/>
              <w:start w:w="70" w:type="dxa"/>
              <w:bottom w:w="55" w:type="dxa"/>
              <w:end w:w="70" w:type="dxa"/>
            </w:tcMar>
          </w:tcPr>
          <w:p>
            <w:pPr>
              <w:spacing w:after="0" w:before="0"/>
            </w:pPr>
            <w:r>
              <w:rPr>
                <w:sz w:val="16"/>
              </w:rPr>
              <w:t>Production deployment</w:t>
            </w:r>
          </w:p>
        </w:tc>
        <w:tc>
          <w:tcPr>
            <w:tcW w:type="dxa" w:w="3360"/>
            <w:vAlign w:val="center"/>
            <w:tcMar>
              <w:top w:w="55" w:type="dxa"/>
              <w:start w:w="70" w:type="dxa"/>
              <w:bottom w:w="55" w:type="dxa"/>
              <w:end w:w="70" w:type="dxa"/>
            </w:tcMar>
          </w:tcPr>
          <w:p>
            <w:pPr>
              <w:spacing w:after="0" w:before="0"/>
            </w:pPr>
            <w:r>
              <w:rPr>
                <w:sz w:val="16"/>
              </w:rPr>
              <w:t>Pending</w:t>
            </w:r>
          </w:p>
        </w:tc>
      </w:tr>
      <w:tr>
        <w:tc>
          <w:tcPr>
            <w:tcW w:type="dxa" w:w="3360"/>
            <w:vAlign w:val="center"/>
            <w:tcMar>
              <w:top w:w="55" w:type="dxa"/>
              <w:start w:w="70" w:type="dxa"/>
              <w:bottom w:w="55" w:type="dxa"/>
              <w:end w:w="70" w:type="dxa"/>
            </w:tcMar>
          </w:tcPr>
          <w:p>
            <w:pPr>
              <w:spacing w:after="0" w:before="0"/>
            </w:pPr>
            <w:r>
              <w:rPr>
                <w:sz w:val="16"/>
              </w:rPr>
              <w:t>Flutter APK / distribution</w:t>
            </w:r>
          </w:p>
        </w:tc>
        <w:tc>
          <w:tcPr>
            <w:tcW w:type="dxa" w:w="3360"/>
            <w:vAlign w:val="center"/>
            <w:tcMar>
              <w:top w:w="55" w:type="dxa"/>
              <w:start w:w="70" w:type="dxa"/>
              <w:bottom w:w="55" w:type="dxa"/>
              <w:end w:w="70" w:type="dxa"/>
            </w:tcMar>
          </w:tcPr>
          <w:p>
            <w:pPr>
              <w:spacing w:after="0" w:before="0"/>
            </w:pPr>
            <w:r>
              <w:rPr>
                <w:sz w:val="16"/>
              </w:rPr>
              <w:t>Installable build</w:t>
            </w:r>
          </w:p>
        </w:tc>
        <w:tc>
          <w:tcPr>
            <w:tcW w:type="dxa" w:w="3360"/>
            <w:vAlign w:val="center"/>
            <w:tcMar>
              <w:top w:w="55" w:type="dxa"/>
              <w:start w:w="70" w:type="dxa"/>
              <w:bottom w:w="55" w:type="dxa"/>
              <w:end w:w="70" w:type="dxa"/>
            </w:tcMar>
          </w:tcPr>
          <w:p>
            <w:pPr>
              <w:spacing w:after="0" w:before="0"/>
            </w:pPr>
            <w:r>
              <w:rPr>
                <w:sz w:val="16"/>
              </w:rPr>
              <w:t>Pending</w:t>
            </w:r>
          </w:p>
        </w:tc>
      </w:tr>
      <w:tr>
        <w:tc>
          <w:tcPr>
            <w:tcW w:type="dxa" w:w="3360"/>
            <w:vAlign w:val="center"/>
            <w:tcMar>
              <w:top w:w="55" w:type="dxa"/>
              <w:start w:w="70" w:type="dxa"/>
              <w:bottom w:w="55" w:type="dxa"/>
              <w:end w:w="70" w:type="dxa"/>
            </w:tcMar>
          </w:tcPr>
          <w:p>
            <w:pPr>
              <w:spacing w:after="0" w:before="0"/>
            </w:pPr>
            <w:r>
              <w:rPr>
                <w:sz w:val="16"/>
              </w:rPr>
              <w:t>Architecture + runbook</w:t>
            </w:r>
          </w:p>
        </w:tc>
        <w:tc>
          <w:tcPr>
            <w:tcW w:type="dxa" w:w="3360"/>
            <w:vAlign w:val="center"/>
            <w:tcMar>
              <w:top w:w="55" w:type="dxa"/>
              <w:start w:w="70" w:type="dxa"/>
              <w:bottom w:w="55" w:type="dxa"/>
              <w:end w:w="70" w:type="dxa"/>
            </w:tcMar>
          </w:tcPr>
          <w:p>
            <w:pPr>
              <w:spacing w:after="0" w:before="0"/>
            </w:pPr>
            <w:r>
              <w:rPr>
                <w:sz w:val="16"/>
              </w:rPr>
              <w:t>Final docs</w:t>
            </w:r>
          </w:p>
        </w:tc>
        <w:tc>
          <w:tcPr>
            <w:tcW w:type="dxa" w:w="3360"/>
            <w:vAlign w:val="center"/>
            <w:tcMar>
              <w:top w:w="55" w:type="dxa"/>
              <w:start w:w="70" w:type="dxa"/>
              <w:bottom w:w="55" w:type="dxa"/>
              <w:end w:w="70" w:type="dxa"/>
            </w:tcMar>
          </w:tcPr>
          <w:p>
            <w:pPr>
              <w:spacing w:after="0" w:before="0"/>
            </w:pPr>
            <w:r>
              <w:rPr>
                <w:sz w:val="16"/>
              </w:rPr>
              <w:t>In progress</w:t>
            </w:r>
          </w:p>
        </w:tc>
      </w:tr>
      <w:tr>
        <w:tc>
          <w:tcPr>
            <w:tcW w:type="dxa" w:w="3360"/>
            <w:vAlign w:val="center"/>
            <w:tcMar>
              <w:top w:w="55" w:type="dxa"/>
              <w:start w:w="70" w:type="dxa"/>
              <w:bottom w:w="55" w:type="dxa"/>
              <w:end w:w="70" w:type="dxa"/>
            </w:tcMar>
          </w:tcPr>
          <w:p>
            <w:pPr>
              <w:spacing w:after="0" w:before="0"/>
            </w:pPr>
            <w:r>
              <w:rPr>
                <w:sz w:val="16"/>
              </w:rPr>
              <w:t>Screen recording</w:t>
            </w:r>
          </w:p>
        </w:tc>
        <w:tc>
          <w:tcPr>
            <w:tcW w:type="dxa" w:w="3360"/>
            <w:vAlign w:val="center"/>
            <w:tcMar>
              <w:top w:w="55" w:type="dxa"/>
              <w:start w:w="70" w:type="dxa"/>
              <w:bottom w:w="55" w:type="dxa"/>
              <w:end w:w="70" w:type="dxa"/>
            </w:tcMar>
          </w:tcPr>
          <w:p>
            <w:pPr>
              <w:spacing w:after="0" w:before="0"/>
            </w:pPr>
            <w:r>
              <w:rPr>
                <w:sz w:val="16"/>
              </w:rPr>
              <w:t>5-minute walkthrough</w:t>
            </w:r>
          </w:p>
        </w:tc>
        <w:tc>
          <w:tcPr>
            <w:tcW w:type="dxa" w:w="3360"/>
            <w:vAlign w:val="center"/>
            <w:tcMar>
              <w:top w:w="55" w:type="dxa"/>
              <w:start w:w="70" w:type="dxa"/>
              <w:bottom w:w="55" w:type="dxa"/>
              <w:end w:w="70" w:type="dxa"/>
            </w:tcMar>
          </w:tcPr>
          <w:p>
            <w:pPr>
              <w:spacing w:after="0" w:before="0"/>
            </w:pPr>
            <w:r>
              <w:rPr>
                <w:sz w:val="16"/>
              </w:rPr>
              <w:t>Pending</w:t>
            </w:r>
          </w:p>
        </w:tc>
      </w:tr>
    </w:tbl>
    <w:p/>
    <w:p>
      <w:pPr>
        <w:jc w:val="center"/>
      </w:pPr>
      <w:r>
        <w:rPr>
          <w:i/>
          <w:color w:val="5F6368"/>
        </w:rPr>
        <w:t>End of current progress documentation</w:t>
      </w: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F6368"/>
        <w:sz w:val="16"/>
      </w:rPr>
      <w:t xml:space="preserve">Progress documentation • 18 Aug 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F6368"/>
        <w:sz w:val="16"/>
      </w:rPr>
      <w:t>MatchCorner Technical Assessment | Betway Nigeria Integration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00"/>
      <w:outlineLvl w:val="0"/>
    </w:pPr>
    <w:rPr>
      <w:rFonts w:asciiTheme="majorHAnsi" w:eastAsiaTheme="majorEastAsia" w:hAnsiTheme="majorHAnsi" w:cstheme="majorBidi" w:ascii="Aptos Display" w:hAnsi="Aptos Display"/>
      <w:b/>
      <w:bCs/>
      <w:color w:val="1F3654"/>
      <w:sz w:val="32"/>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Aptos" w:hAnsi="Aptos"/>
      <w:b/>
      <w:bCs/>
      <w:color w:val="2F5496"/>
      <w:sz w:val="24"/>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ascii="Aptos" w:hAnsi="Aptos"/>
      <w:b/>
      <w:bCs/>
      <w:color w:val="1F3654"/>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0"/>
      <w:contextualSpacing/>
    </w:pPr>
    <w:rPr>
      <w:rFonts w:asciiTheme="majorHAnsi" w:eastAsiaTheme="majorEastAsia" w:hAnsiTheme="majorHAnsi" w:cstheme="majorBidi" w:ascii="Aptos Display" w:hAnsi="Aptos Display"/>
      <w:b/>
      <w:color w:val="1F3654"/>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60" w:after="120"/>
      <w:ind w:left="259" w:right="259"/>
    </w:pPr>
    <w:rPr>
      <w:rFonts w:ascii="Consolas" w:hAnsi="Consolas"/>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