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PharmaVigi: Technical Handoff Document</w:t>
      </w:r>
    </w:p>
    <w:p>
      <w:pPr>
        <w:spacing w:after="200"/>
      </w:pPr>
      <w:r>
        <w:rPr>
          <w:rFonts w:ascii="맑은 고딕" w:cs="맑은 고딕" w:eastAsia="맑은 고딕" w:hAnsi="맑은 고딕"/>
        </w:rPr>
        <w:t xml:space="preserve">This document serves as the definitive technical reference for the PharmaVigi application. It outlines the architecture, frontend and backend implementations, database schemas, and integration flows required for developers and system administrators to maintain and scale the application.</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 System Architecture Overview</w:t>
      </w:r>
    </w:p>
    <w:p>
      <w:pPr>
        <w:spacing w:after="200"/>
      </w:pPr>
      <w:r>
        <w:rPr>
          <w:rFonts w:ascii="맑은 고딕" w:cs="맑은 고딕" w:eastAsia="맑은 고딕" w:hAnsi="맑은 고딕"/>
        </w:rPr>
        <w:t xml:space="preserve">PharmaVigi is a modern, decoupled web application utilizing a robust JavaScript/TypeScript stack.</w:t>
      </w:r>
    </w:p>
    <w:p>
      <w:pPr>
        <w:pStyle w:val="ListParagraph"/>
        <w:numPr>
          <w:ilvl w:val="0"/>
          <w:numId w:val="2"/>
        </w:numPr>
        <w:spacing w:after="80" w:before="40"/>
      </w:pPr>
      <w:r>
        <w:rPr>
          <w:rFonts w:ascii="맑은 고딕" w:cs="맑은 고딕" w:eastAsia="맑은 고딕" w:hAnsi="맑은 고딕"/>
          <w:b/>
          <w:bCs/>
        </w:rPr>
        <w:t xml:space="preserve">Frontend:</w:t>
      </w:r>
      <w:r>
        <w:rPr>
          <w:rFonts w:ascii="맑은 고딕" w:cs="맑은 고딕" w:eastAsia="맑은 고딕" w:hAnsi="맑은 고딕"/>
        </w:rPr>
        <w:t xml:space="preserve"> React 18, Vite, TailwindCSS</w:t>
      </w:r>
    </w:p>
    <w:p>
      <w:pPr>
        <w:pStyle w:val="ListParagraph"/>
        <w:numPr>
          <w:ilvl w:val="0"/>
          <w:numId w:val="2"/>
        </w:numPr>
        <w:spacing w:after="80" w:before="40"/>
      </w:pPr>
      <w:r>
        <w:rPr>
          <w:rFonts w:ascii="맑은 고딕" w:cs="맑은 고딕" w:eastAsia="맑은 고딕" w:hAnsi="맑은 고딕"/>
          <w:b/>
          <w:bCs/>
        </w:rPr>
        <w:t xml:space="preserve">Backend:</w:t>
      </w:r>
      <w:r>
        <w:rPr>
          <w:rFonts w:ascii="맑은 고딕" w:cs="맑은 고딕" w:eastAsia="맑은 고딕" w:hAnsi="맑은 고딕"/>
        </w:rPr>
        <w:t xml:space="preserve"> Node.js, Express.js</w:t>
      </w:r>
    </w:p>
    <w:p>
      <w:pPr>
        <w:pStyle w:val="ListParagraph"/>
        <w:numPr>
          <w:ilvl w:val="0"/>
          <w:numId w:val="2"/>
        </w:numPr>
        <w:spacing w:after="80" w:before="40"/>
      </w:pPr>
      <w:r>
        <w:rPr>
          <w:rFonts w:ascii="맑은 고딕" w:cs="맑은 고딕" w:eastAsia="맑은 고딕" w:hAnsi="맑은 고딕"/>
          <w:b/>
          <w:bCs/>
        </w:rPr>
        <w:t xml:space="preserve">Database / ORM:</w:t>
      </w:r>
      <w:r>
        <w:rPr>
          <w:rFonts w:ascii="맑은 고딕" w:cs="맑은 고딕" w:eastAsia="맑은 고딕" w:hAnsi="맑은 고딕"/>
        </w:rPr>
        <w:t xml:space="preserve"> Prisma ORM, SQLite (Local Development) / PostgreSQL (Target Production)</w:t>
      </w:r>
    </w:p>
    <w:p>
      <w:pPr>
        <w:pStyle w:val="ListParagraph"/>
        <w:numPr>
          <w:ilvl w:val="0"/>
          <w:numId w:val="2"/>
        </w:numPr>
        <w:spacing w:after="80" w:before="40"/>
      </w:pPr>
      <w:r>
        <w:rPr>
          <w:rFonts w:ascii="맑은 고딕" w:cs="맑은 고딕" w:eastAsia="맑은 고딕" w:hAnsi="맑은 고딕"/>
          <w:b/>
          <w:bCs/>
        </w:rPr>
        <w:t xml:space="preserve">Deployment:</w:t>
      </w:r>
      <w:r>
        <w:rPr>
          <w:rFonts w:ascii="맑은 고딕" w:cs="맑은 고딕" w:eastAsia="맑은 고딕" w:hAnsi="맑은 고딕"/>
        </w:rPr>
        <w:t xml:space="preserve"> Packaged for deployment via standard Node.js hosting (e.g., Render, AWS EC2, or Docker).</w:t>
      </w:r>
    </w:p>
    <w:p>
      <w:pPr>
        <w:pStyle w:val="Heading3"/>
      </w:pPr>
      <w:r>
        <w:rPr>
          <w:rFonts w:ascii="맑은 고딕" w:cs="맑은 고딕" w:eastAsia="맑은 고딕" w:hAnsi="맑은 고딕"/>
        </w:rPr>
        <w:t xml:space="preserve">High-Level Data Flow</w:t>
      </w:r>
    </w:p>
    <w:p>
      <w:pPr>
        <w:spacing w:after="200"/>
      </w:pPr>
      <w:r>
        <w:rPr>
          <w:rFonts w:ascii="맑은 고딕" w:cs="맑은 고딕" w:eastAsia="맑은 고딕" w:hAnsi="맑은 고딕"/>
        </w:rPr>
        <w:t xml:space="preserve">1. The </w:t>
      </w:r>
      <w:r>
        <w:rPr>
          <w:rFonts w:ascii="맑은 고딕" w:cs="맑은 고딕" w:eastAsia="맑은 고딕" w:hAnsi="맑은 고딕"/>
          <w:b/>
          <w:bCs/>
        </w:rPr>
        <w:t xml:space="preserve">React Client</w:t>
      </w:r>
      <w:r>
        <w:rPr>
          <w:rFonts w:ascii="맑은 고딕" w:cs="맑은 고딕" w:eastAsia="맑은 고딕" w:hAnsi="맑은 고딕"/>
        </w:rPr>
        <w:t xml:space="preserve"> maintains complex, deeply-nested component states (Case, Products, Events).</w:t>
      </w:r>
    </w:p>
    <w:p>
      <w:pPr>
        <w:spacing w:after="200"/>
      </w:pPr>
      <w:r>
        <w:rPr>
          <w:rFonts w:ascii="맑은 고딕" w:cs="맑은 고딕" w:eastAsia="맑은 고딕" w:hAnsi="맑은 고딕"/>
        </w:rPr>
        <w:t xml:space="preserve">2. Upon user save, the client serializes the data and issues RESTful </w:t>
      </w:r>
      <w:r>
        <w:rPr>
          <w:rFonts w:ascii="Consolas" w:cs="Consolas" w:eastAsia="Consolas" w:hAnsi="Consolas"/>
          <w:color w:val="CF222E"/>
          <w:sz w:val="21"/>
          <w:szCs w:val="21"/>
          <w:shd w:fill="F6F8FA"/>
        </w:rPr>
        <w:t xml:space="preserve">POST</w:t>
      </w:r>
      <w:r>
        <w:rPr>
          <w:rFonts w:ascii="맑은 고딕" w:cs="맑은 고딕" w:eastAsia="맑은 고딕" w:hAnsi="맑은 고딕"/>
        </w:rPr>
        <w:t xml:space="preserve"> and </w:t>
      </w:r>
      <w:r>
        <w:rPr>
          <w:rFonts w:ascii="Consolas" w:cs="Consolas" w:eastAsia="Consolas" w:hAnsi="Consolas"/>
          <w:color w:val="CF222E"/>
          <w:sz w:val="21"/>
          <w:szCs w:val="21"/>
          <w:shd w:fill="F6F8FA"/>
        </w:rPr>
        <w:t xml:space="preserve">PUT</w:t>
      </w:r>
      <w:r>
        <w:rPr>
          <w:rFonts w:ascii="맑은 고딕" w:cs="맑은 고딕" w:eastAsia="맑은 고딕" w:hAnsi="맑은 고딕"/>
        </w:rPr>
        <w:t xml:space="preserve"> requests to the </w:t>
      </w:r>
      <w:r>
        <w:rPr>
          <w:rFonts w:ascii="맑은 고딕" w:cs="맑은 고딕" w:eastAsia="맑은 고딕" w:hAnsi="맑은 고딕"/>
          <w:b/>
          <w:bCs/>
        </w:rPr>
        <w:t xml:space="preserve">Express Backend</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3. The </w:t>
      </w:r>
      <w:r>
        <w:rPr>
          <w:rFonts w:ascii="맑은 고딕" w:cs="맑은 고딕" w:eastAsia="맑은 고딕" w:hAnsi="맑은 고딕"/>
          <w:b/>
          <w:bCs/>
        </w:rPr>
        <w:t xml:space="preserve">Express Controllers</w:t>
      </w:r>
      <w:r>
        <w:rPr>
          <w:rFonts w:ascii="맑은 고딕" w:cs="맑은 고딕" w:eastAsia="맑은 고딕" w:hAnsi="맑은 고딕"/>
        </w:rPr>
        <w:t xml:space="preserve"> validate the payloads and use </w:t>
      </w:r>
      <w:r>
        <w:rPr>
          <w:rFonts w:ascii="맑은 고딕" w:cs="맑은 고딕" w:eastAsia="맑은 고딕" w:hAnsi="맑은 고딕"/>
          <w:b/>
          <w:bCs/>
        </w:rPr>
        <w:t xml:space="preserve">Prisma Client</w:t>
      </w:r>
      <w:r>
        <w:rPr>
          <w:rFonts w:ascii="맑은 고딕" w:cs="맑은 고딕" w:eastAsia="맑은 고딕" w:hAnsi="맑은 고딕"/>
        </w:rPr>
        <w:t xml:space="preserve"> to execute transactional inserts and updates into the SQL database.</w:t>
      </w:r>
    </w:p>
    <w:p>
      <w:pPr>
        <w:spacing w:after="200"/>
      </w:pPr>
      <w:r>
        <w:rPr>
          <w:rFonts w:ascii="맑은 고딕" w:cs="맑은 고딕" w:eastAsia="맑은 고딕" w:hAnsi="맑은 고딕"/>
        </w:rPr>
        <w:t xml:space="preserve">4. Data is returned via standardized JSON responses and hydrated back into the frontend React state.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2. Frontend Architecture</w:t>
      </w:r>
    </w:p>
    <w:p>
      <w:pPr>
        <w:pStyle w:val="Heading3"/>
      </w:pPr>
      <w:r>
        <w:rPr>
          <w:rFonts w:ascii="맑은 고딕" w:cs="맑은 고딕" w:eastAsia="맑은 고딕" w:hAnsi="맑은 고딕"/>
        </w:rPr>
        <w:t xml:space="preserve">Technology Stack</w:t>
      </w:r>
    </w:p>
    <w:p>
      <w:pPr>
        <w:pStyle w:val="ListParagraph"/>
        <w:numPr>
          <w:ilvl w:val="0"/>
          <w:numId w:val="2"/>
        </w:numPr>
        <w:spacing w:after="80" w:before="40"/>
      </w:pPr>
      <w:r>
        <w:rPr>
          <w:rFonts w:ascii="맑은 고딕" w:cs="맑은 고딕" w:eastAsia="맑은 고딕" w:hAnsi="맑은 고딕"/>
          <w:b/>
          <w:bCs/>
        </w:rPr>
        <w:t xml:space="preserve">Framework:</w:t>
      </w:r>
      <w:r>
        <w:rPr>
          <w:rFonts w:ascii="맑은 고딕" w:cs="맑은 고딕" w:eastAsia="맑은 고딕" w:hAnsi="맑은 고딕"/>
        </w:rPr>
        <w:t xml:space="preserve"> React 18</w:t>
      </w:r>
    </w:p>
    <w:p>
      <w:pPr>
        <w:pStyle w:val="ListParagraph"/>
        <w:numPr>
          <w:ilvl w:val="0"/>
          <w:numId w:val="2"/>
        </w:numPr>
        <w:spacing w:after="80" w:before="40"/>
      </w:pPr>
      <w:r>
        <w:rPr>
          <w:rFonts w:ascii="맑은 고딕" w:cs="맑은 고딕" w:eastAsia="맑은 고딕" w:hAnsi="맑은 고딕"/>
          <w:b/>
          <w:bCs/>
        </w:rPr>
        <w:t xml:space="preserve">Build Tool:</w:t>
      </w:r>
      <w:r>
        <w:rPr>
          <w:rFonts w:ascii="맑은 고딕" w:cs="맑은 고딕" w:eastAsia="맑은 고딕" w:hAnsi="맑은 고딕"/>
        </w:rPr>
        <w:t xml:space="preserve"> Vite (for rapid HMR and optimized bundling)</w:t>
      </w:r>
    </w:p>
    <w:p>
      <w:pPr>
        <w:pStyle w:val="ListParagraph"/>
        <w:numPr>
          <w:ilvl w:val="0"/>
          <w:numId w:val="2"/>
        </w:numPr>
        <w:spacing w:after="80" w:before="40"/>
      </w:pPr>
      <w:r>
        <w:rPr>
          <w:rFonts w:ascii="맑은 고딕" w:cs="맑은 고딕" w:eastAsia="맑은 고딕" w:hAnsi="맑은 고딕"/>
          <w:b/>
          <w:bCs/>
        </w:rPr>
        <w:t xml:space="preserve">Styling:</w:t>
      </w:r>
      <w:r>
        <w:rPr>
          <w:rFonts w:ascii="맑은 고딕" w:cs="맑은 고딕" w:eastAsia="맑은 고딕" w:hAnsi="맑은 고딕"/>
        </w:rPr>
        <w:t xml:space="preserve"> TailwindCSS (utility-first CSS framework for custom, responsive designs)</w:t>
      </w:r>
    </w:p>
    <w:p>
      <w:pPr>
        <w:pStyle w:val="ListParagraph"/>
        <w:numPr>
          <w:ilvl w:val="0"/>
          <w:numId w:val="2"/>
        </w:numPr>
        <w:spacing w:after="80" w:before="40"/>
      </w:pPr>
      <w:r>
        <w:rPr>
          <w:rFonts w:ascii="맑은 고딕" w:cs="맑은 고딕" w:eastAsia="맑은 고딕" w:hAnsi="맑은 고딕"/>
          <w:b/>
          <w:bCs/>
        </w:rPr>
        <w:t xml:space="preserve">Routing:</w:t>
      </w:r>
      <w:r>
        <w:rPr>
          <w:rFonts w:ascii="맑은 고딕" w:cs="맑은 고딕" w:eastAsia="맑은 고딕" w:hAnsi="맑은 고딕"/>
        </w:rPr>
        <w:t xml:space="preserve"> React Router DOM (e.g., </w:t>
      </w:r>
      <w:r>
        <w:rPr>
          <w:rFonts w:ascii="Consolas" w:cs="Consolas" w:eastAsia="Consolas" w:hAnsi="Consolas"/>
          <w:color w:val="CF222E"/>
          <w:sz w:val="21"/>
          <w:szCs w:val="21"/>
          <w:shd w:fill="F6F8FA"/>
        </w:rPr>
        <w:t xml:space="preserve">/cases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/cases/:id</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Folder Structure</w:t>
      </w:r>
    </w:p>
    <w:p>
      <w:pPr>
        <w:pStyle w:val="ListParagraph"/>
        <w:numPr>
          <w:ilvl w:val="0"/>
          <w:numId w:val="2"/>
        </w:numPr>
        <w:spacing w:after="80" w:before="40"/>
      </w:pPr>
      <w:r>
        <w:rPr>
          <w:rFonts w:ascii="Consolas" w:cs="Consolas" w:eastAsia="Consolas" w:hAnsi="Consolas"/>
          <w:color w:val="CF222E"/>
          <w:sz w:val="21"/>
          <w:szCs w:val="21"/>
          <w:shd w:fill="F6F8FA"/>
        </w:rPr>
        <w:t xml:space="preserve">/src/pages/</w:t>
      </w:r>
      <w:r>
        <w:rPr>
          <w:rFonts w:ascii="맑은 고딕" w:cs="맑은 고딕" w:eastAsia="맑은 고딕" w:hAnsi="맑은 고딕"/>
        </w:rPr>
        <w:t xml:space="preserve">: Contains top-level route components (e.g., </w:t>
      </w:r>
      <w:r>
        <w:rPr>
          <w:rFonts w:ascii="Consolas" w:cs="Consolas" w:eastAsia="Consolas" w:hAnsi="Consolas"/>
          <w:color w:val="CF222E"/>
          <w:sz w:val="21"/>
          <w:szCs w:val="21"/>
          <w:shd w:fill="F6F8FA"/>
        </w:rPr>
        <w:t xml:space="preserve">CaseDetailPage.jsx</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CaseList.jsx</w:t>
      </w:r>
      <w:r>
        <w:rPr>
          <w:rFonts w:ascii="맑은 고딕" w:cs="맑은 고딕" w:eastAsia="맑은 고딕" w:hAnsi="맑은 고딕"/>
        </w:rPr>
        <w:t xml:space="preserve">).</w:t>
      </w:r>
    </w:p>
    <w:p>
      <w:pPr>
        <w:pStyle w:val="ListParagraph"/>
        <w:numPr>
          <w:ilvl w:val="0"/>
          <w:numId w:val="2"/>
        </w:numPr>
        <w:spacing w:after="80" w:before="40"/>
      </w:pPr>
      <w:r>
        <w:rPr>
          <w:rFonts w:ascii="Consolas" w:cs="Consolas" w:eastAsia="Consolas" w:hAnsi="Consolas"/>
          <w:color w:val="CF222E"/>
          <w:sz w:val="21"/>
          <w:szCs w:val="21"/>
          <w:shd w:fill="F6F8FA"/>
        </w:rPr>
        <w:t xml:space="preserve">/src/components/ui/</w:t>
      </w:r>
      <w:r>
        <w:rPr>
          <w:rFonts w:ascii="맑은 고딕" w:cs="맑은 고딕" w:eastAsia="맑은 고딕" w:hAnsi="맑은 고딕"/>
        </w:rPr>
        <w:t xml:space="preserve">: Contains reusable, highly specific UI components (e.g., </w:t>
      </w:r>
      <w:r>
        <w:rPr>
          <w:rFonts w:ascii="Consolas" w:cs="Consolas" w:eastAsia="Consolas" w:hAnsi="Consolas"/>
          <w:color w:val="CF222E"/>
          <w:sz w:val="21"/>
          <w:szCs w:val="21"/>
          <w:shd w:fill="F6F8FA"/>
        </w:rPr>
        <w:t xml:space="preserve">DrugAutocomplete.jsx</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ICDBrowserModal.jsx</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State Management</w:t>
      </w:r>
    </w:p>
    <w:p>
      <w:pPr>
        <w:spacing w:after="200"/>
      </w:pPr>
      <w:r>
        <w:rPr>
          <w:rFonts w:ascii="맑은 고딕" w:cs="맑은 고딕" w:eastAsia="맑은 고딕" w:hAnsi="맑은 고딕"/>
        </w:rPr>
        <w:t xml:space="preserve">Due to the immense complexity of a PV case, state is primarily managed via </w:t>
      </w:r>
      <w:r>
        <w:rPr>
          <w:rFonts w:ascii="맑은 고딕" w:cs="맑은 고딕" w:eastAsia="맑은 고딕" w:hAnsi="맑은 고딕"/>
          <w:b/>
          <w:bCs/>
        </w:rPr>
        <w:t xml:space="preserve">Lifting State Up</w:t>
      </w:r>
      <w:r>
        <w:rPr>
          <w:rFonts w:ascii="맑은 고딕" w:cs="맑은 고딕" w:eastAsia="맑은 고딕" w:hAnsi="맑은 고딕"/>
        </w:rPr>
        <w:t xml:space="preserve"> within </w:t>
      </w:r>
      <w:r>
        <w:rPr>
          <w:rFonts w:ascii="Consolas" w:cs="Consolas" w:eastAsia="Consolas" w:hAnsi="Consolas"/>
          <w:color w:val="CF222E"/>
          <w:sz w:val="21"/>
          <w:szCs w:val="21"/>
          <w:shd w:fill="F6F8FA"/>
        </w:rPr>
        <w:t xml:space="preserve">CaseDetailPage.jsx</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Form State:</w:t>
      </w:r>
      <w:r>
        <w:rPr>
          <w:rFonts w:ascii="맑은 고딕" w:cs="맑은 고딕" w:eastAsia="맑은 고딕" w:hAnsi="맑은 고딕"/>
        </w:rPr>
        <w:t xml:space="preserve"> Standard text inputs (Patient Demographics, General Info).</w:t>
      </w:r>
    </w:p>
    <w:p>
      <w:pPr>
        <w:pStyle w:val="ListParagraph"/>
        <w:numPr>
          <w:ilvl w:val="0"/>
          <w:numId w:val="2"/>
        </w:numPr>
        <w:spacing w:after="80" w:before="40"/>
      </w:pPr>
      <w:r>
        <w:rPr>
          <w:rFonts w:ascii="맑은 고딕" w:cs="맑은 고딕" w:eastAsia="맑은 고딕" w:hAnsi="맑은 고딕"/>
          <w:b/>
          <w:bCs/>
        </w:rPr>
        <w:t xml:space="preserve">Tabbed Arrays: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productTabs</w:t>
      </w:r>
      <w:r>
        <w:rPr>
          <w:rFonts w:ascii="맑은 고딕" w:cs="맑은 고딕" w:eastAsia="맑은 고딕" w:hAnsi="맑은 고딕"/>
        </w:rPr>
        <w:t xml:space="preserve"> and </w:t>
      </w:r>
      <w:r>
        <w:rPr>
          <w:rFonts w:ascii="Consolas" w:cs="Consolas" w:eastAsia="Consolas" w:hAnsi="Consolas"/>
          <w:color w:val="CF222E"/>
          <w:sz w:val="21"/>
          <w:szCs w:val="21"/>
          <w:shd w:fill="F6F8FA"/>
        </w:rPr>
        <w:t xml:space="preserve">eventTabs</w:t>
      </w:r>
      <w:r>
        <w:rPr>
          <w:rFonts w:ascii="맑은 고딕" w:cs="맑은 고딕" w:eastAsia="맑은 고딕" w:hAnsi="맑은 고딕"/>
        </w:rPr>
        <w:t xml:space="preserve"> track multiple entities. Each entity has a local ID (</w:t>
      </w:r>
      <w:r>
        <w:rPr>
          <w:rFonts w:ascii="Consolas" w:cs="Consolas" w:eastAsia="Consolas" w:hAnsi="Consolas"/>
          <w:color w:val="CF222E"/>
          <w:sz w:val="21"/>
          <w:szCs w:val="21"/>
          <w:shd w:fill="F6F8FA"/>
        </w:rPr>
        <w:t xml:space="preserve">id</w:t>
      </w:r>
      <w:r>
        <w:rPr>
          <w:rFonts w:ascii="맑은 고딕" w:cs="맑은 고딕" w:eastAsia="맑은 고딕" w:hAnsi="맑은 고딕"/>
        </w:rPr>
        <w:t xml:space="preserve">) used for frontend rendering and a </w:t>
      </w:r>
      <w:r>
        <w:rPr>
          <w:rFonts w:ascii="Consolas" w:cs="Consolas" w:eastAsia="Consolas" w:hAnsi="Consolas"/>
          <w:color w:val="CF222E"/>
          <w:sz w:val="21"/>
          <w:szCs w:val="21"/>
          <w:shd w:fill="F6F8FA"/>
        </w:rPr>
        <w:t xml:space="preserve">backendId</w:t>
      </w:r>
      <w:r>
        <w:rPr>
          <w:rFonts w:ascii="맑은 고딕" w:cs="맑은 고딕" w:eastAsia="맑은 고딕" w:hAnsi="맑은 고딕"/>
        </w:rPr>
        <w:t xml:space="preserve"> tracking the database primary key.</w:t>
      </w:r>
    </w:p>
    <w:p>
      <w:pPr>
        <w:pStyle w:val="ListParagraph"/>
        <w:numPr>
          <w:ilvl w:val="0"/>
          <w:numId w:val="2"/>
        </w:numPr>
        <w:spacing w:after="80" w:before="40"/>
      </w:pPr>
      <w:r>
        <w:rPr>
          <w:rFonts w:ascii="맑은 고딕" w:cs="맑은 고딕" w:eastAsia="맑은 고딕" w:hAnsi="맑은 고딕"/>
          <w:b/>
          <w:bCs/>
        </w:rPr>
        <w:t xml:space="preserve">Cross-Entity State: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eventAssessments</w:t>
      </w:r>
      <w:r>
        <w:rPr>
          <w:rFonts w:ascii="맑은 고딕" w:cs="맑은 고딕" w:eastAsia="맑은 고딕" w:hAnsi="맑은 고딕"/>
        </w:rPr>
        <w:t xml:space="preserve"> tracks the many-to-many relationship mapping Products to Events (Causality, Listedness).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3. Backend Architecture</w:t>
      </w:r>
    </w:p>
    <w:p>
      <w:pPr>
        <w:pStyle w:val="Heading3"/>
      </w:pPr>
      <w:r>
        <w:rPr>
          <w:rFonts w:ascii="맑은 고딕" w:cs="맑은 고딕" w:eastAsia="맑은 고딕" w:hAnsi="맑은 고딕"/>
        </w:rPr>
        <w:t xml:space="preserve">Technology Stack</w:t>
      </w:r>
    </w:p>
    <w:p>
      <w:pPr>
        <w:pStyle w:val="ListParagraph"/>
        <w:numPr>
          <w:ilvl w:val="0"/>
          <w:numId w:val="2"/>
        </w:numPr>
        <w:spacing w:after="80" w:before="40"/>
      </w:pPr>
      <w:r>
        <w:rPr>
          <w:rFonts w:ascii="맑은 고딕" w:cs="맑은 고딕" w:eastAsia="맑은 고딕" w:hAnsi="맑은 고딕"/>
          <w:b/>
          <w:bCs/>
        </w:rPr>
        <w:t xml:space="preserve">Server:</w:t>
      </w:r>
      <w:r>
        <w:rPr>
          <w:rFonts w:ascii="맑은 고딕" w:cs="맑은 고딕" w:eastAsia="맑은 고딕" w:hAnsi="맑은 고딕"/>
        </w:rPr>
        <w:t xml:space="preserve"> Node.js with Express.js framework.</w:t>
      </w:r>
    </w:p>
    <w:p>
      <w:pPr>
        <w:pStyle w:val="ListParagraph"/>
        <w:numPr>
          <w:ilvl w:val="0"/>
          <w:numId w:val="2"/>
        </w:numPr>
        <w:spacing w:after="80" w:before="40"/>
      </w:pPr>
      <w:r>
        <w:rPr>
          <w:rFonts w:ascii="맑은 고딕" w:cs="맑은 고딕" w:eastAsia="맑은 고딕" w:hAnsi="맑은 고딕"/>
          <w:b/>
          <w:bCs/>
        </w:rPr>
        <w:t xml:space="preserve">ORM:</w:t>
      </w:r>
      <w:r>
        <w:rPr>
          <w:rFonts w:ascii="맑은 고딕" w:cs="맑은 고딕" w:eastAsia="맑은 고딕" w:hAnsi="맑은 고딕"/>
        </w:rPr>
        <w:t xml:space="preserve"> Prisma Client.</w:t>
      </w:r>
    </w:p>
    <w:p>
      <w:pPr>
        <w:pStyle w:val="ListParagraph"/>
        <w:numPr>
          <w:ilvl w:val="0"/>
          <w:numId w:val="2"/>
        </w:numPr>
        <w:spacing w:after="80" w:before="40"/>
      </w:pPr>
      <w:r>
        <w:rPr>
          <w:rFonts w:ascii="맑은 고딕" w:cs="맑은 고딕" w:eastAsia="맑은 고딕" w:hAnsi="맑은 고딕"/>
          <w:b/>
          <w:bCs/>
        </w:rPr>
        <w:t xml:space="preserve">Entry Point: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server/index.js</w:t>
      </w:r>
      <w:r>
        <w:rPr>
          <w:rFonts w:ascii="맑은 고딕" w:cs="맑은 고딕" w:eastAsia="맑은 고딕" w:hAnsi="맑은 고딕"/>
        </w:rPr>
        <w:t xml:space="preserve"> bootstraps the Express app and registers routers.</w:t>
      </w:r>
    </w:p>
    <w:p>
      <w:pPr>
        <w:pStyle w:val="Heading3"/>
      </w:pPr>
      <w:r>
        <w:rPr>
          <w:rFonts w:ascii="맑은 고딕" w:cs="맑은 고딕" w:eastAsia="맑은 고딕" w:hAnsi="맑은 고딕"/>
        </w:rPr>
        <w:t xml:space="preserve">API Design &amp; Controllers</w:t>
      </w:r>
    </w:p>
    <w:p>
      <w:pPr>
        <w:spacing w:after="200"/>
      </w:pPr>
      <w:r>
        <w:rPr>
          <w:rFonts w:ascii="맑은 고딕" w:cs="맑은 고딕" w:eastAsia="맑은 고딕" w:hAnsi="맑은 고딕"/>
        </w:rPr>
        <w:t xml:space="preserve">The API follows standard REST conventions under the </w:t>
      </w:r>
      <w:r>
        <w:rPr>
          <w:rFonts w:ascii="Consolas" w:cs="Consolas" w:eastAsia="Consolas" w:hAnsi="Consolas"/>
          <w:color w:val="CF222E"/>
          <w:sz w:val="21"/>
          <w:szCs w:val="21"/>
          <w:shd w:fill="F6F8FA"/>
        </w:rPr>
        <w:t xml:space="preserve">/api/cases</w:t>
      </w:r>
      <w:r>
        <w:rPr>
          <w:rFonts w:ascii="맑은 고딕" w:cs="맑은 고딕" w:eastAsia="맑은 고딕" w:hAnsi="맑은 고딕"/>
        </w:rPr>
        <w:t xml:space="preserve"> prefix.</w:t>
      </w:r>
    </w:p>
    <w:p>
      <w:pPr>
        <w:spacing w:after="200"/>
      </w:pPr>
      <w:r>
        <w:rPr>
          <w:rFonts w:ascii="맑은 고딕" w:cs="맑은 고딕" w:eastAsia="맑은 고딕" w:hAnsi="맑은 고딕"/>
          <w:b/>
          <w:bCs/>
        </w:rPr>
        <w:t xml:space="preserve">Key Endpoints:</w:t>
      </w:r>
    </w:p>
    <w:p>
      <w:pPr>
        <w:pStyle w:val="ListParagraph"/>
        <w:numPr>
          <w:ilvl w:val="0"/>
          <w:numId w:val="2"/>
        </w:numPr>
        <w:spacing w:after="80" w:before="40"/>
      </w:pPr>
      <w:r>
        <w:rPr>
          <w:rFonts w:ascii="Consolas" w:cs="Consolas" w:eastAsia="Consolas" w:hAnsi="Consolas"/>
          <w:color w:val="CF222E"/>
          <w:sz w:val="21"/>
          <w:szCs w:val="21"/>
          <w:shd w:fill="F6F8FA"/>
        </w:rPr>
        <w:t xml:space="preserve">GET /api/cases/:id</w:t>
      </w:r>
      <w:r>
        <w:rPr>
          <w:rFonts w:ascii="맑은 고딕" w:cs="맑은 고딕" w:eastAsia="맑은 고딕" w:hAnsi="맑은 고딕"/>
        </w:rPr>
        <w:t xml:space="preserve"> : Fetches the aggregate root (Case) including nested Products, Events, and Causalities.</w:t>
      </w:r>
    </w:p>
    <w:p>
      <w:pPr>
        <w:pStyle w:val="ListParagraph"/>
        <w:numPr>
          <w:ilvl w:val="0"/>
          <w:numId w:val="2"/>
        </w:numPr>
        <w:spacing w:after="80" w:before="40"/>
      </w:pPr>
      <w:r>
        <w:rPr>
          <w:rFonts w:ascii="Consolas" w:cs="Consolas" w:eastAsia="Consolas" w:hAnsi="Consolas"/>
          <w:color w:val="CF222E"/>
          <w:sz w:val="21"/>
          <w:szCs w:val="21"/>
          <w:shd w:fill="F6F8FA"/>
        </w:rPr>
        <w:t xml:space="preserve">POST/PUT /api/cases/:id/products</w:t>
      </w:r>
      <w:r>
        <w:rPr>
          <w:rFonts w:ascii="맑은 고딕" w:cs="맑은 고딕" w:eastAsia="맑은 고딕" w:hAnsi="맑은 고딕"/>
        </w:rPr>
        <w:t xml:space="preserve"> : Upserts a Suspect/Concomitant drug.</w:t>
      </w:r>
    </w:p>
    <w:p>
      <w:pPr>
        <w:pStyle w:val="ListParagraph"/>
        <w:numPr>
          <w:ilvl w:val="0"/>
          <w:numId w:val="2"/>
        </w:numPr>
        <w:spacing w:after="80" w:before="40"/>
      </w:pPr>
      <w:r>
        <w:rPr>
          <w:rFonts w:ascii="Consolas" w:cs="Consolas" w:eastAsia="Consolas" w:hAnsi="Consolas"/>
          <w:color w:val="CF222E"/>
          <w:sz w:val="21"/>
          <w:szCs w:val="21"/>
          <w:shd w:fill="F6F8FA"/>
        </w:rPr>
        <w:t xml:space="preserve">POST/PUT /api/cases/:id/events</w:t>
      </w:r>
      <w:r>
        <w:rPr>
          <w:rFonts w:ascii="맑은 고딕" w:cs="맑은 고딕" w:eastAsia="맑은 고딕" w:hAnsi="맑은 고딕"/>
        </w:rPr>
        <w:t xml:space="preserve"> : Upserts an Adverse Event. Crucially, the Event payload accepts a </w:t>
      </w:r>
      <w:r>
        <w:rPr>
          <w:rFonts w:ascii="Consolas" w:cs="Consolas" w:eastAsia="Consolas" w:hAnsi="Consolas"/>
          <w:color w:val="CF222E"/>
          <w:sz w:val="21"/>
          <w:szCs w:val="21"/>
          <w:shd w:fill="F6F8FA"/>
        </w:rPr>
        <w:t xml:space="preserve">causalities</w:t>
      </w:r>
      <w:r>
        <w:rPr>
          <w:rFonts w:ascii="맑은 고딕" w:cs="맑은 고딕" w:eastAsia="맑은 고딕" w:hAnsi="맑은 고딕"/>
        </w:rPr>
        <w:t xml:space="preserve"> array.</w:t>
      </w:r>
    </w:p>
    <w:p>
      <w:pPr>
        <w:spacing w:after="200"/>
      </w:pPr>
      <w:r>
        <w:rPr>
          <w:rFonts w:ascii="맑은 고딕" w:cs="맑은 고딕" w:eastAsia="맑은 고딕" w:hAnsi="맑은 고딕"/>
          <w:b/>
          <w:bCs/>
        </w:rPr>
        <w:t xml:space="preserve">Controllers (`events.controller.js`):</w:t>
      </w:r>
    </w:p>
    <w:p>
      <w:pPr>
        <w:spacing w:after="200"/>
      </w:pPr>
      <w:r>
        <w:rPr>
          <w:rFonts w:ascii="맑은 고딕" w:cs="맑은 고딕" w:eastAsia="맑은 고딕" w:hAnsi="맑은 고딕"/>
        </w:rPr>
        <w:t xml:space="preserve">When an event is created/updated, the controller utilizes Prisma's nested writes or explicitly iterates to upsert the </w:t>
      </w:r>
      <w:r>
        <w:rPr>
          <w:rFonts w:ascii="Consolas" w:cs="Consolas" w:eastAsia="Consolas" w:hAnsi="Consolas"/>
          <w:color w:val="CF222E"/>
          <w:sz w:val="21"/>
          <w:szCs w:val="21"/>
          <w:shd w:fill="F6F8FA"/>
        </w:rPr>
        <w:t xml:space="preserve">spt_org_event_causality</w:t>
      </w:r>
      <w:r>
        <w:rPr>
          <w:rFonts w:ascii="맑은 고딕" w:cs="맑은 고딕" w:eastAsia="맑은 고딕" w:hAnsi="맑은 고딕"/>
        </w:rPr>
        <w:t xml:space="preserve"> mapping table.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4. Database Schema (Prisma)</w:t>
      </w:r>
    </w:p>
    <w:p>
      <w:pPr>
        <w:spacing w:after="200"/>
      </w:pPr>
      <w:r>
        <w:rPr>
          <w:rFonts w:ascii="맑은 고딕" w:cs="맑은 고딕" w:eastAsia="맑은 고딕" w:hAnsi="맑은 고딕"/>
        </w:rPr>
        <w:t xml:space="preserve">The application utilizes a relational data model managed via Prisma (</w:t>
      </w:r>
      <w:r>
        <w:rPr>
          <w:rFonts w:ascii="Consolas" w:cs="Consolas" w:eastAsia="Consolas" w:hAnsi="Consolas"/>
          <w:color w:val="CF222E"/>
          <w:sz w:val="21"/>
          <w:szCs w:val="21"/>
          <w:shd w:fill="F6F8FA"/>
        </w:rPr>
        <w:t xml:space="preserve">prisma/schema.prisma</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Core Models</w:t>
      </w:r>
    </w:p>
    <w:p>
      <w:pPr>
        <w:pStyle w:val="ListParagraph"/>
        <w:numPr>
          <w:ilvl w:val="0"/>
          <w:numId w:val="2"/>
        </w:numPr>
        <w:spacing w:after="80" w:before="40"/>
      </w:pPr>
      <w:r>
        <w:rPr>
          <w:rFonts w:ascii="맑은 고딕" w:cs="맑은 고딕" w:eastAsia="맑은 고딕" w:hAnsi="맑은 고딕"/>
          <w:b/>
          <w:bCs/>
        </w:rPr>
        <w:t xml:space="preserve">`spt_org_case`</w:t>
      </w:r>
      <w:r>
        <w:rPr>
          <w:rFonts w:ascii="맑은 고딕" w:cs="맑은 고딕" w:eastAsia="맑은 고딕" w:hAnsi="맑은 고딕"/>
        </w:rPr>
        <w:t xml:space="preserve">: The aggregate root representing a single PV case.</w:t>
      </w:r>
    </w:p>
    <w:p>
      <w:pPr>
        <w:pStyle w:val="ListParagraph"/>
        <w:numPr>
          <w:ilvl w:val="0"/>
          <w:numId w:val="2"/>
        </w:numPr>
        <w:spacing w:after="80" w:before="40"/>
      </w:pPr>
      <w:r>
        <w:rPr>
          <w:rFonts w:ascii="맑은 고딕" w:cs="맑은 고딕" w:eastAsia="맑은 고딕" w:hAnsi="맑은 고딕"/>
          <w:b/>
          <w:bCs/>
        </w:rPr>
        <w:t xml:space="preserve">`spt_org_product`</w:t>
      </w:r>
      <w:r>
        <w:rPr>
          <w:rFonts w:ascii="맑은 고딕" w:cs="맑은 고딕" w:eastAsia="맑은 고딕" w:hAnsi="맑은 고딕"/>
        </w:rPr>
        <w:t xml:space="preserve">: Tracks drugs associated with a case (</w:t>
      </w:r>
      <w:r>
        <w:rPr>
          <w:rFonts w:ascii="Consolas" w:cs="Consolas" w:eastAsia="Consolas" w:hAnsi="Consolas"/>
          <w:color w:val="CF222E"/>
          <w:sz w:val="21"/>
          <w:szCs w:val="21"/>
          <w:shd w:fill="F6F8FA"/>
        </w:rPr>
        <w:t xml:space="preserve">product_id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drug_name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indication</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`spt_org_event`</w:t>
      </w:r>
      <w:r>
        <w:rPr>
          <w:rFonts w:ascii="맑은 고딕" w:cs="맑은 고딕" w:eastAsia="맑은 고딕" w:hAnsi="맑은 고딕"/>
        </w:rPr>
        <w:t xml:space="preserve">: Tracks adverse events (</w:t>
      </w:r>
      <w:r>
        <w:rPr>
          <w:rFonts w:ascii="Consolas" w:cs="Consolas" w:eastAsia="Consolas" w:hAnsi="Consolas"/>
          <w:color w:val="CF222E"/>
          <w:sz w:val="21"/>
          <w:szCs w:val="21"/>
          <w:shd w:fill="F6F8FA"/>
        </w:rPr>
        <w:t xml:space="preserve">event_id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entity_title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chapter</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narrative</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`spt_org_event_causality`</w:t>
      </w:r>
      <w:r>
        <w:rPr>
          <w:rFonts w:ascii="맑은 고딕" w:cs="맑은 고딕" w:eastAsia="맑은 고딕" w:hAnsi="맑은 고딕"/>
        </w:rPr>
        <w:t xml:space="preserve">: The </w:t>
      </w:r>
      <w:r>
        <w:rPr>
          <w:rFonts w:ascii="맑은 고딕" w:cs="맑은 고딕" w:eastAsia="맑은 고딕" w:hAnsi="맑은 고딕"/>
          <w:b/>
          <w:bCs/>
        </w:rPr>
        <w:t xml:space="preserve">Join Table</w:t>
      </w:r>
      <w:r>
        <w:rPr>
          <w:rFonts w:ascii="맑은 고딕" w:cs="맑은 고딕" w:eastAsia="맑은 고딕" w:hAnsi="맑은 고딕"/>
        </w:rPr>
        <w:t xml:space="preserve"> mapping Products to Events.</w:t>
      </w:r>
    </w:p>
    <w:p>
      <w:pPr>
        <w:pStyle w:val="Heading3"/>
      </w:pPr>
      <w:r>
        <w:rPr>
          <w:rFonts w:ascii="맑은 고딕" w:cs="맑은 고딕" w:eastAsia="맑은 고딕" w:hAnsi="맑은 고딕"/>
        </w:rPr>
        <w:t xml:space="preserve">The Event Causality Table</w:t>
      </w:r>
    </w:p>
    <w:p>
      <w:pPr>
        <w:spacing w:after="200"/>
      </w:pPr>
      <w:r>
        <w:rPr>
          <w:rFonts w:ascii="맑은 고딕" w:cs="맑은 고딕" w:eastAsia="맑은 고딕" w:hAnsi="맑은 고딕"/>
        </w:rPr>
        <w:t xml:space="preserve">This table is the technical backbone of the Event Assessment module.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`prisma</w:t>
      </w:r>
    </w:p>
    <w:p>
      <w:pPr>
        <w:spacing w:after="200"/>
      </w:pPr>
      <w:r>
        <w:rPr>
          <w:rFonts w:ascii="맑은 고딕" w:cs="맑은 고딕" w:eastAsia="맑은 고딕" w:hAnsi="맑은 고딕"/>
        </w:rPr>
        <w:t xml:space="preserve">model spt</w:t>
      </w:r>
      <w:r>
        <w:rPr>
          <w:rFonts w:ascii="맑은 고딕" w:cs="맑은 고딕" w:eastAsia="맑은 고딕" w:hAnsi="맑은 고딕"/>
        </w:rPr>
        <w:t xml:space="preserve">_org</w:t>
      </w:r>
      <w:r>
        <w:rPr>
          <w:rFonts w:ascii="맑은 고딕" w:cs="맑은 고딕" w:eastAsia="맑은 고딕" w:hAnsi="맑은 고딕"/>
        </w:rPr>
        <w:t xml:space="preserve">_event</w:t>
      </w:r>
      <w:r>
        <w:rPr>
          <w:rFonts w:ascii="맑은 고딕" w:cs="맑은 고딕" w:eastAsia="맑은 고딕" w:hAnsi="맑은 고딕"/>
        </w:rPr>
        <w:t xml:space="preserve">_causality {</w:t>
      </w:r>
    </w:p>
    <w:p>
      <w:pPr>
        <w:spacing w:after="200"/>
      </w:pPr>
      <w:r>
        <w:rPr>
          <w:rFonts w:ascii="맑은 고딕" w:cs="맑은 고딕" w:eastAsia="맑은 고딕" w:hAnsi="맑은 고딕"/>
        </w:rPr>
        <w:t xml:space="preserve">  causality</w:t>
      </w:r>
      <w:r>
        <w:rPr>
          <w:rFonts w:ascii="맑은 고딕" w:cs="맑은 고딕" w:eastAsia="맑은 고딕" w:hAnsi="맑은 고딕"/>
        </w:rPr>
        <w:t xml:space="preserve">_id         Int      @id @default(autoincrement())</w:t>
      </w:r>
    </w:p>
    <w:p>
      <w:pPr>
        <w:spacing w:after="200"/>
      </w:pPr>
      <w:r>
        <w:rPr>
          <w:rFonts w:ascii="맑은 고딕" w:cs="맑은 고딕" w:eastAsia="맑은 고딕" w:hAnsi="맑은 고딕"/>
        </w:rPr>
        <w:t xml:space="preserve">  event</w:t>
      </w:r>
      <w:r>
        <w:rPr>
          <w:rFonts w:ascii="맑은 고딕" w:cs="맑은 고딕" w:eastAsia="맑은 고딕" w:hAnsi="맑은 고딕"/>
        </w:rPr>
        <w:t xml:space="preserve">_id             Int</w:t>
      </w:r>
    </w:p>
    <w:p>
      <w:pPr>
        <w:spacing w:after="200"/>
      </w:pPr>
      <w:r>
        <w:rPr>
          <w:rFonts w:ascii="맑은 고딕" w:cs="맑은 고딕" w:eastAsia="맑은 고딕" w:hAnsi="맑은 고딕"/>
        </w:rPr>
        <w:t xml:space="preserve">  product</w:t>
      </w:r>
      <w:r>
        <w:rPr>
          <w:rFonts w:ascii="맑은 고딕" w:cs="맑은 고딕" w:eastAsia="맑은 고딕" w:hAnsi="맑은 고딕"/>
        </w:rPr>
        <w:t xml:space="preserve">_id           Int</w:t>
      </w:r>
    </w:p>
    <w:p>
      <w:pPr>
        <w:spacing w:after="200"/>
      </w:pPr>
      <w:r>
        <w:rPr>
          <w:rFonts w:ascii="맑은 고딕" w:cs="맑은 고딕" w:eastAsia="맑은 고딕" w:hAnsi="맑은 고딕"/>
        </w:rPr>
        <w:t xml:space="preserve">  causality</w:t>
      </w:r>
      <w:r>
        <w:rPr>
          <w:rFonts w:ascii="맑은 고딕" w:cs="맑은 고딕" w:eastAsia="맑은 고딕" w:hAnsi="맑은 고딕"/>
        </w:rPr>
        <w:t xml:space="preserve">_reported   String?</w:t>
      </w:r>
    </w:p>
    <w:p>
      <w:pPr>
        <w:spacing w:after="200"/>
      </w:pPr>
      <w:r>
        <w:rPr>
          <w:rFonts w:ascii="맑은 고딕" w:cs="맑은 고딕" w:eastAsia="맑은 고딕" w:hAnsi="맑은 고딕"/>
        </w:rPr>
        <w:t xml:space="preserve">  causality</w:t>
      </w:r>
      <w:r>
        <w:rPr>
          <w:rFonts w:ascii="맑은 고딕" w:cs="맑은 고딕" w:eastAsia="맑은 고딕" w:hAnsi="맑은 고딕"/>
        </w:rPr>
        <w:t xml:space="preserve">_determined String?</w:t>
      </w:r>
    </w:p>
    <w:p>
      <w:pPr>
        <w:spacing w:after="200"/>
      </w:pPr>
      <w:r>
        <w:rPr>
          <w:rFonts w:ascii="맑은 고딕" w:cs="맑은 고딕" w:eastAsia="맑은 고딕" w:hAnsi="맑은 고딕"/>
        </w:rPr>
        <w:t xml:space="preserve">  seriousness          String?</w:t>
      </w:r>
    </w:p>
    <w:p>
      <w:pPr>
        <w:spacing w:after="200"/>
      </w:pPr>
      <w:r>
        <w:rPr>
          <w:rFonts w:ascii="맑은 고딕" w:cs="맑은 고딕" w:eastAsia="맑은 고딕" w:hAnsi="맑은 고딕"/>
        </w:rPr>
        <w:t xml:space="preserve">  listedness</w:t>
      </w:r>
      <w:r>
        <w:rPr>
          <w:rFonts w:ascii="맑은 고딕" w:cs="맑은 고딕" w:eastAsia="맑은 고딕" w:hAnsi="맑은 고딕"/>
        </w:rPr>
        <w:t xml:space="preserve">_data      String?  // JSON string storing dynamic dynamic datasheet/license assessments</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Important Design Decision:</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listedness_data</w:t>
      </w:r>
      <w:r>
        <w:rPr>
          <w:rFonts w:ascii="맑은 고딕" w:cs="맑은 고딕" w:eastAsia="맑은 고딕" w:hAnsi="맑은 고딕"/>
        </w:rPr>
        <w:t xml:space="preserve"> is a stringified JSON blob. Because a drug can have an arbitrary, varying number of Datasheets and Licenses, storing this as JSON allows the frontend to dynamically render </w:t>
      </w:r>
      <w:r>
        <w:rPr>
          <w:rFonts w:ascii="Consolas" w:cs="Consolas" w:eastAsia="Consolas" w:hAnsi="Consolas"/>
          <w:color w:val="CF222E"/>
          <w:sz w:val="21"/>
          <w:szCs w:val="21"/>
          <w:shd w:fill="F6F8FA"/>
        </w:rPr>
        <w:t xml:space="preserve">N</w:t>
      </w:r>
      <w:r>
        <w:rPr>
          <w:rFonts w:ascii="맑은 고딕" w:cs="맑은 고딕" w:eastAsia="맑은 고딕" w:hAnsi="맑은 고딕"/>
        </w:rPr>
        <w:t xml:space="preserve"> dropdowns without requiring strict schema migrations for new license types.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5. Frontend ↔ Backend Connection</w:t>
      </w:r>
    </w:p>
    <w:p>
      <w:pPr>
        <w:pStyle w:val="Heading3"/>
      </w:pPr>
      <w:r>
        <w:rPr>
          <w:rFonts w:ascii="맑은 고딕" w:cs="맑은 고딕" w:eastAsia="맑은 고딕" w:hAnsi="맑은 고딕"/>
        </w:rPr>
        <w:t xml:space="preserve">Hydration Flow (Load)</w:t>
      </w:r>
    </w:p>
    <w:p>
      <w:pPr>
        <w:spacing w:after="200"/>
      </w:pPr>
      <w:r>
        <w:rPr>
          <w:rFonts w:ascii="맑은 고딕" w:cs="맑은 고딕" w:eastAsia="맑은 고딕" w:hAnsi="맑은 고딕"/>
        </w:rPr>
        <w:t xml:space="preserve">When </w:t>
      </w:r>
      <w:r>
        <w:rPr>
          <w:rFonts w:ascii="Consolas" w:cs="Consolas" w:eastAsia="Consolas" w:hAnsi="Consolas"/>
          <w:color w:val="CF222E"/>
          <w:sz w:val="21"/>
          <w:szCs w:val="21"/>
          <w:shd w:fill="F6F8FA"/>
        </w:rPr>
        <w:t xml:space="preserve">CaseDetailPage.jsx</w:t>
      </w:r>
      <w:r>
        <w:rPr>
          <w:rFonts w:ascii="맑은 고딕" w:cs="맑은 고딕" w:eastAsia="맑은 고딕" w:hAnsi="맑은 고딕"/>
        </w:rPr>
        <w:t xml:space="preserve"> mounts, the </w:t>
      </w:r>
      <w:r>
        <w:rPr>
          <w:rFonts w:ascii="Consolas" w:cs="Consolas" w:eastAsia="Consolas" w:hAnsi="Consolas"/>
          <w:color w:val="CF222E"/>
          <w:sz w:val="21"/>
          <w:szCs w:val="21"/>
          <w:shd w:fill="F6F8FA"/>
        </w:rPr>
        <w:t xml:space="preserve">useEffect</w:t>
      </w:r>
      <w:r>
        <w:rPr>
          <w:rFonts w:ascii="맑은 고딕" w:cs="맑은 고딕" w:eastAsia="맑은 고딕" w:hAnsi="맑은 고딕"/>
        </w:rPr>
        <w:t xml:space="preserve"> hook calls </w:t>
      </w:r>
      <w:r>
        <w:rPr>
          <w:rFonts w:ascii="Consolas" w:cs="Consolas" w:eastAsia="Consolas" w:hAnsi="Consolas"/>
          <w:color w:val="CF222E"/>
          <w:sz w:val="21"/>
          <w:szCs w:val="21"/>
          <w:shd w:fill="F6F8FA"/>
        </w:rPr>
        <w:t xml:space="preserve">GET /api/cases/:id</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1. </w:t>
      </w:r>
      <w:r>
        <w:rPr>
          <w:rFonts w:ascii="Consolas" w:cs="Consolas" w:eastAsia="Consolas" w:hAnsi="Consolas"/>
          <w:color w:val="CF222E"/>
          <w:sz w:val="21"/>
          <w:szCs w:val="21"/>
          <w:shd w:fill="F6F8FA"/>
        </w:rPr>
        <w:t xml:space="preserve">events</w:t>
      </w:r>
      <w:r>
        <w:rPr>
          <w:rFonts w:ascii="맑은 고딕" w:cs="맑은 고딕" w:eastAsia="맑은 고딕" w:hAnsi="맑은 고딕"/>
        </w:rPr>
        <w:t xml:space="preserve"> are loaded into </w:t>
      </w:r>
      <w:r>
        <w:rPr>
          <w:rFonts w:ascii="Consolas" w:cs="Consolas" w:eastAsia="Consolas" w:hAnsi="Consolas"/>
          <w:color w:val="CF222E"/>
          <w:sz w:val="21"/>
          <w:szCs w:val="21"/>
          <w:shd w:fill="F6F8FA"/>
        </w:rPr>
        <w:t xml:space="preserve">eventTabs</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2. </w:t>
      </w:r>
      <w:r>
        <w:rPr>
          <w:rFonts w:ascii="Consolas" w:cs="Consolas" w:eastAsia="Consolas" w:hAnsi="Consolas"/>
          <w:color w:val="CF222E"/>
          <w:sz w:val="21"/>
          <w:szCs w:val="21"/>
          <w:shd w:fill="F6F8FA"/>
        </w:rPr>
        <w:t xml:space="preserve">products</w:t>
      </w:r>
      <w:r>
        <w:rPr>
          <w:rFonts w:ascii="맑은 고딕" w:cs="맑은 고딕" w:eastAsia="맑은 고딕" w:hAnsi="맑은 고딕"/>
        </w:rPr>
        <w:t xml:space="preserve"> are loaded into </w:t>
      </w:r>
      <w:r>
        <w:rPr>
          <w:rFonts w:ascii="Consolas" w:cs="Consolas" w:eastAsia="Consolas" w:hAnsi="Consolas"/>
          <w:color w:val="CF222E"/>
          <w:sz w:val="21"/>
          <w:szCs w:val="21"/>
          <w:shd w:fill="F6F8FA"/>
        </w:rPr>
        <w:t xml:space="preserve">productTabs</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3. The frontend manually reconstructs the </w:t>
      </w:r>
      <w:r>
        <w:rPr>
          <w:rFonts w:ascii="Consolas" w:cs="Consolas" w:eastAsia="Consolas" w:hAnsi="Consolas"/>
          <w:color w:val="CF222E"/>
          <w:sz w:val="21"/>
          <w:szCs w:val="21"/>
          <w:shd w:fill="F6F8FA"/>
        </w:rPr>
        <w:t xml:space="preserve">eventAssessments</w:t>
      </w:r>
      <w:r>
        <w:rPr>
          <w:rFonts w:ascii="맑은 고딕" w:cs="맑은 고딕" w:eastAsia="맑은 고딕" w:hAnsi="맑은 고딕"/>
        </w:rPr>
        <w:t xml:space="preserve"> array by parsing </w:t>
      </w:r>
      <w:r>
        <w:rPr>
          <w:rFonts w:ascii="Consolas" w:cs="Consolas" w:eastAsia="Consolas" w:hAnsi="Consolas"/>
          <w:color w:val="CF222E"/>
          <w:sz w:val="21"/>
          <w:szCs w:val="21"/>
          <w:shd w:fill="F6F8FA"/>
        </w:rPr>
        <w:t xml:space="preserve">evt.causalities</w:t>
      </w:r>
      <w:r>
        <w:rPr>
          <w:rFonts w:ascii="맑은 고딕" w:cs="맑은 고딕" w:eastAsia="맑은 고딕" w:hAnsi="맑은 고딕"/>
        </w:rPr>
        <w:t xml:space="preserve"> and un-stringifying </w:t>
      </w:r>
      <w:r>
        <w:rPr>
          <w:rFonts w:ascii="Consolas" w:cs="Consolas" w:eastAsia="Consolas" w:hAnsi="Consolas"/>
          <w:color w:val="CF222E"/>
          <w:sz w:val="21"/>
          <w:szCs w:val="21"/>
          <w:shd w:fill="F6F8FA"/>
        </w:rPr>
        <w:t xml:space="preserve">listedness_data</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Serialization Flow (Save)</w:t>
      </w:r>
    </w:p>
    <w:p>
      <w:pPr>
        <w:spacing w:after="200"/>
      </w:pPr>
      <w:r>
        <w:rPr>
          <w:rFonts w:ascii="맑은 고딕" w:cs="맑은 고딕" w:eastAsia="맑은 고딕" w:hAnsi="맑은 고딕"/>
        </w:rPr>
        <w:t xml:space="preserve">When the user clicks Save in </w:t>
      </w:r>
      <w:r>
        <w:rPr>
          <w:rFonts w:ascii="Consolas" w:cs="Consolas" w:eastAsia="Consolas" w:hAnsi="Consolas"/>
          <w:color w:val="CF222E"/>
          <w:sz w:val="21"/>
          <w:szCs w:val="21"/>
          <w:shd w:fill="F6F8FA"/>
        </w:rPr>
        <w:t xml:space="preserve">CaseDetailPage.jsx</w:t>
      </w:r>
      <w:r>
        <w:rPr>
          <w:rFonts w:ascii="맑은 고딕" w:cs="맑은 고딕" w:eastAsia="맑은 고딕" w:hAnsi="맑은 고딕"/>
        </w:rPr>
        <w:t xml:space="preserve">, the </w:t>
      </w:r>
      <w:r>
        <w:rPr>
          <w:rFonts w:ascii="Consolas" w:cs="Consolas" w:eastAsia="Consolas" w:hAnsi="Consolas"/>
          <w:color w:val="CF222E"/>
          <w:sz w:val="21"/>
          <w:szCs w:val="21"/>
          <w:shd w:fill="F6F8FA"/>
        </w:rPr>
        <w:t xml:space="preserve">handleSave</w:t>
      </w:r>
      <w:r>
        <w:rPr>
          <w:rFonts w:ascii="맑은 고딕" w:cs="맑은 고딕" w:eastAsia="맑은 고딕" w:hAnsi="맑은 고딕"/>
        </w:rPr>
        <w:t xml:space="preserve"> function executes sequentially:</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Upsert Products:</w:t>
      </w:r>
      <w:r>
        <w:rPr>
          <w:rFonts w:ascii="맑은 고딕" w:cs="맑은 고딕" w:eastAsia="맑은 고딕" w:hAnsi="맑은 고딕"/>
        </w:rPr>
        <w:t xml:space="preserve"> Products </w:t>
      </w:r>
      <w:r>
        <w:rPr>
          <w:rFonts w:ascii="맑은 고딕" w:cs="맑은 고딕" w:eastAsia="맑은 고딕" w:hAnsi="맑은 고딕"/>
          <w:i/>
          <w:iCs/>
        </w:rPr>
        <w:t xml:space="preserve">must</w:t>
      </w:r>
      <w:r>
        <w:rPr>
          <w:rFonts w:ascii="맑은 고딕" w:cs="맑은 고딕" w:eastAsia="맑은 고딕" w:hAnsi="맑은 고딕"/>
        </w:rPr>
        <w:t xml:space="preserve"> be saved first to ensure they have a valid </w:t>
      </w:r>
      <w:r>
        <w:rPr>
          <w:rFonts w:ascii="Consolas" w:cs="Consolas" w:eastAsia="Consolas" w:hAnsi="Consolas"/>
          <w:color w:val="CF222E"/>
          <w:sz w:val="21"/>
          <w:szCs w:val="21"/>
          <w:shd w:fill="F6F8FA"/>
        </w:rPr>
        <w:t xml:space="preserve">backendId</w:t>
      </w:r>
      <w:r>
        <w:rPr>
          <w:rFonts w:ascii="맑은 고딕" w:cs="맑은 고딕" w:eastAsia="맑은 고딕" w:hAnsi="맑은 고딕"/>
        </w:rPr>
        <w:t xml:space="preserve"> generated by the database.</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Upsert Events:</w:t>
      </w:r>
      <w:r>
        <w:rPr>
          <w:rFonts w:ascii="맑은 고딕" w:cs="맑은 고딕" w:eastAsia="맑은 고딕" w:hAnsi="맑은 고딕"/>
        </w:rPr>
        <w:t xml:space="preserve"> For each Event, the frontend filters </w:t>
      </w:r>
      <w:r>
        <w:rPr>
          <w:rFonts w:ascii="Consolas" w:cs="Consolas" w:eastAsia="Consolas" w:hAnsi="Consolas"/>
          <w:color w:val="CF222E"/>
          <w:sz w:val="21"/>
          <w:szCs w:val="21"/>
          <w:shd w:fill="F6F8FA"/>
        </w:rPr>
        <w:t xml:space="preserve">eventAssessments</w:t>
      </w:r>
      <w:r>
        <w:rPr>
          <w:rFonts w:ascii="맑은 고딕" w:cs="맑은 고딕" w:eastAsia="맑은 고딕" w:hAnsi="맑은 고딕"/>
        </w:rPr>
        <w:t xml:space="preserve"> to find associated causalities. It maps the product's new </w:t>
      </w:r>
      <w:r>
        <w:rPr>
          <w:rFonts w:ascii="Consolas" w:cs="Consolas" w:eastAsia="Consolas" w:hAnsi="Consolas"/>
          <w:color w:val="CF222E"/>
          <w:sz w:val="21"/>
          <w:szCs w:val="21"/>
          <w:shd w:fill="F6F8FA"/>
        </w:rPr>
        <w:t xml:space="preserve">backendId</w:t>
      </w:r>
      <w:r>
        <w:rPr>
          <w:rFonts w:ascii="맑은 고딕" w:cs="맑은 고딕" w:eastAsia="맑은 고딕" w:hAnsi="맑은 고딕"/>
        </w:rPr>
        <w:t xml:space="preserve"> into the payload and stringifies the </w:t>
      </w:r>
      <w:r>
        <w:rPr>
          <w:rFonts w:ascii="Consolas" w:cs="Consolas" w:eastAsia="Consolas" w:hAnsi="Consolas"/>
          <w:color w:val="CF222E"/>
          <w:sz w:val="21"/>
          <w:szCs w:val="21"/>
          <w:shd w:fill="F6F8FA"/>
        </w:rPr>
        <w:t xml:space="preserve">listednessData</w:t>
      </w:r>
      <w:r>
        <w:rPr>
          <w:rFonts w:ascii="맑은 고딕" w:cs="맑은 고딕" w:eastAsia="맑은 고딕" w:hAnsi="맑은 고딕"/>
        </w:rPr>
        <w:t xml:space="preserve"> object. The payload is sent to the Express controller, which commits the full relationship to the database.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6. Environment Setup &amp; Deployment</w:t>
      </w:r>
    </w:p>
    <w:p>
      <w:pPr>
        <w:pStyle w:val="Heading3"/>
      </w:pPr>
      <w:r>
        <w:rPr>
          <w:rFonts w:ascii="맑은 고딕" w:cs="맑은 고딕" w:eastAsia="맑은 고딕" w:hAnsi="맑은 고딕"/>
        </w:rPr>
        <w:t xml:space="preserve">Local Development</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Install Dependencies:</w:t>
      </w:r>
      <w:r>
        <w:rPr>
          <w:rFonts w:ascii="맑은 고딕" w:cs="맑은 고딕" w:eastAsia="맑은 고딕" w:hAnsi="맑은 고딕"/>
        </w:rPr>
        <w:t xml:space="preserve"> Run </w:t>
      </w:r>
      <w:r>
        <w:rPr>
          <w:rFonts w:ascii="Consolas" w:cs="Consolas" w:eastAsia="Consolas" w:hAnsi="Consolas"/>
          <w:color w:val="CF222E"/>
          <w:sz w:val="21"/>
          <w:szCs w:val="21"/>
          <w:shd w:fill="F6F8FA"/>
        </w:rPr>
        <w:t xml:space="preserve">npm install</w:t>
      </w:r>
      <w:r>
        <w:rPr>
          <w:rFonts w:ascii="맑은 고딕" w:cs="맑은 고딕" w:eastAsia="맑은 고딕" w:hAnsi="맑은 고딕"/>
        </w:rPr>
        <w:t xml:space="preserve"> in the root directory.</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Database Migration:</w:t>
      </w:r>
      <w:r>
        <w:rPr>
          <w:rFonts w:ascii="맑은 고딕" w:cs="맑은 고딕" w:eastAsia="맑은 고딕" w:hAnsi="맑은 고딕"/>
        </w:rPr>
        <w:t xml:space="preserve"> Run </w:t>
      </w:r>
      <w:r>
        <w:rPr>
          <w:rFonts w:ascii="Consolas" w:cs="Consolas" w:eastAsia="Consolas" w:hAnsi="Consolas"/>
          <w:color w:val="CF222E"/>
          <w:sz w:val="21"/>
          <w:szCs w:val="21"/>
          <w:shd w:fill="F6F8FA"/>
        </w:rPr>
        <w:t xml:space="preserve">npx prisma db push</w:t>
      </w:r>
      <w:r>
        <w:rPr>
          <w:rFonts w:ascii="맑은 고딕" w:cs="맑은 고딕" w:eastAsia="맑은 고딕" w:hAnsi="맑은 고딕"/>
        </w:rPr>
        <w:t xml:space="preserve"> to synchronize the SQLite </w:t>
      </w:r>
      <w:r>
        <w:rPr>
          <w:rFonts w:ascii="Consolas" w:cs="Consolas" w:eastAsia="Consolas" w:hAnsi="Consolas"/>
          <w:color w:val="CF222E"/>
          <w:sz w:val="21"/>
          <w:szCs w:val="21"/>
          <w:shd w:fill="F6F8FA"/>
        </w:rPr>
        <w:t xml:space="preserve">dev.db</w:t>
      </w:r>
      <w:r>
        <w:rPr>
          <w:rFonts w:ascii="맑은 고딕" w:cs="맑은 고딕" w:eastAsia="맑은 고딕" w:hAnsi="맑은 고딕"/>
        </w:rPr>
        <w:t xml:space="preserve"> with the Prisma schema.</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Start the App:</w:t>
      </w:r>
      <w:r>
        <w:rPr>
          <w:rFonts w:ascii="맑은 고딕" w:cs="맑은 고딕" w:eastAsia="맑은 고딕" w:hAnsi="맑은 고딕"/>
        </w:rPr>
        <w:t xml:space="preserve"> Run </w:t>
      </w:r>
      <w:r>
        <w:rPr>
          <w:rFonts w:ascii="Consolas" w:cs="Consolas" w:eastAsia="Consolas" w:hAnsi="Consolas"/>
          <w:color w:val="CF222E"/>
          <w:sz w:val="21"/>
          <w:szCs w:val="21"/>
          <w:shd w:fill="F6F8FA"/>
        </w:rPr>
        <w:t xml:space="preserve">npm run dev</w:t>
      </w:r>
      <w:r>
        <w:rPr>
          <w:rFonts w:ascii="맑은 고딕" w:cs="맑은 고딕" w:eastAsia="맑은 고딕" w:hAnsi="맑은 고딕"/>
        </w:rPr>
        <w:t xml:space="preserve">. This utilizes concurrently or a similar script to start the Vite frontend and Express backend simultaneously.</w:t>
      </w:r>
    </w:p>
    <w:p>
      <w:pPr>
        <w:pStyle w:val="Heading3"/>
      </w:pPr>
      <w:r>
        <w:rPr>
          <w:rFonts w:ascii="맑은 고딕" w:cs="맑은 고딕" w:eastAsia="맑은 고딕" w:hAnsi="맑은 고딕"/>
        </w:rPr>
        <w:t xml:space="preserve">Deployment Configuration</w:t>
      </w:r>
    </w:p>
    <w:p>
      <w:pPr>
        <w:spacing w:after="200"/>
      </w:pPr>
      <w:r>
        <w:rPr>
          <w:rFonts w:ascii="맑은 고딕" w:cs="맑은 고딕" w:eastAsia="맑은 고딕" w:hAnsi="맑은 고딕"/>
        </w:rPr>
        <w:t xml:space="preserve">The repository includes a </w:t>
      </w:r>
      <w:r>
        <w:rPr>
          <w:rFonts w:ascii="Consolas" w:cs="Consolas" w:eastAsia="Consolas" w:hAnsi="Consolas"/>
          <w:color w:val="CF222E"/>
          <w:sz w:val="21"/>
          <w:szCs w:val="21"/>
          <w:shd w:fill="F6F8FA"/>
        </w:rPr>
        <w:t xml:space="preserve">render.yaml</w:t>
      </w:r>
      <w:r>
        <w:rPr>
          <w:rFonts w:ascii="맑은 고딕" w:cs="맑은 고딕" w:eastAsia="맑은 고딕" w:hAnsi="맑은 고딕"/>
        </w:rPr>
        <w:t xml:space="preserve"> blueprint for PaaS deployment (e.g., Render.com). It defines:</w:t>
      </w:r>
    </w:p>
    <w:p>
      <w:pPr>
        <w:pStyle w:val="ListParagraph"/>
        <w:numPr>
          <w:ilvl w:val="0"/>
          <w:numId w:val="2"/>
        </w:numPr>
        <w:spacing w:after="80" w:before="40"/>
      </w:pPr>
      <w:r>
        <w:rPr>
          <w:rFonts w:ascii="맑은 고딕" w:cs="맑은 고딕" w:eastAsia="맑은 고딕" w:hAnsi="맑은 고딕"/>
          <w:b/>
          <w:bCs/>
        </w:rPr>
        <w:t xml:space="preserve">Build Command: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npm install &amp;&amp; npm run build</w:t>
      </w:r>
    </w:p>
    <w:p>
      <w:pPr>
        <w:pStyle w:val="ListParagraph"/>
        <w:numPr>
          <w:ilvl w:val="0"/>
          <w:numId w:val="2"/>
        </w:numPr>
        <w:spacing w:after="80" w:before="40"/>
      </w:pPr>
      <w:r>
        <w:rPr>
          <w:rFonts w:ascii="맑은 고딕" w:cs="맑은 고딕" w:eastAsia="맑은 고딕" w:hAnsi="맑은 고딕"/>
          <w:b/>
          <w:bCs/>
        </w:rPr>
        <w:t xml:space="preserve">Start Command: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npm start</w:t>
      </w:r>
      <w:r>
        <w:rPr>
          <w:rFonts w:ascii="맑은 고딕" w:cs="맑은 고딕" w:eastAsia="맑은 고딕" w:hAnsi="맑은 고딕"/>
        </w:rPr>
        <w:t xml:space="preserve"> (Runs the Express server which serves the built static frontend assets).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7. Known Limitations &amp; Future Work</w:t>
      </w:r>
    </w:p>
    <w:p>
      <w:pPr>
        <w:pStyle w:val="ListParagraph"/>
        <w:numPr>
          <w:ilvl w:val="0"/>
          <w:numId w:val="2"/>
        </w:numPr>
        <w:spacing w:after="80" w:before="40"/>
      </w:pPr>
      <w:r>
        <w:rPr>
          <w:rFonts w:ascii="맑은 고딕" w:cs="맑은 고딕" w:eastAsia="맑은 고딕" w:hAnsi="맑은 고딕"/>
          <w:b/>
          <w:bCs/>
        </w:rPr>
        <w:t xml:space="preserve">Database Provider:</w:t>
      </w:r>
      <w:r>
        <w:rPr>
          <w:rFonts w:ascii="맑은 고딕" w:cs="맑은 고딕" w:eastAsia="맑은 고딕" w:hAnsi="맑은 고딕"/>
        </w:rPr>
        <w:t xml:space="preserve"> The current Prisma schema is configured for </w:t>
      </w:r>
      <w:r>
        <w:rPr>
          <w:rFonts w:ascii="Consolas" w:cs="Consolas" w:eastAsia="Consolas" w:hAnsi="Consolas"/>
          <w:color w:val="CF222E"/>
          <w:sz w:val="21"/>
          <w:szCs w:val="21"/>
          <w:shd w:fill="F6F8FA"/>
        </w:rPr>
        <w:t xml:space="preserve">provider = "sqlite"</w:t>
      </w:r>
      <w:r>
        <w:rPr>
          <w:rFonts w:ascii="맑은 고딕" w:cs="맑은 고딕" w:eastAsia="맑은 고딕" w:hAnsi="맑은 고딕"/>
        </w:rPr>
        <w:t xml:space="preserve"> to facilitate rapid local development without Docker. For production, the </w:t>
      </w:r>
      <w:r>
        <w:rPr>
          <w:rFonts w:ascii="Consolas" w:cs="Consolas" w:eastAsia="Consolas" w:hAnsi="Consolas"/>
          <w:color w:val="CF222E"/>
          <w:sz w:val="21"/>
          <w:szCs w:val="21"/>
          <w:shd w:fill="F6F8FA"/>
        </w:rPr>
        <w:t xml:space="preserve">provider</w:t>
      </w:r>
      <w:r>
        <w:rPr>
          <w:rFonts w:ascii="맑은 고딕" w:cs="맑은 고딕" w:eastAsia="맑은 고딕" w:hAnsi="맑은 고딕"/>
        </w:rPr>
        <w:t xml:space="preserve"> in </w:t>
      </w:r>
      <w:r>
        <w:rPr>
          <w:rFonts w:ascii="Consolas" w:cs="Consolas" w:eastAsia="Consolas" w:hAnsi="Consolas"/>
          <w:color w:val="CF222E"/>
          <w:sz w:val="21"/>
          <w:szCs w:val="21"/>
          <w:shd w:fill="F6F8FA"/>
        </w:rPr>
        <w:t xml:space="preserve">schema.prisma</w:t>
      </w:r>
      <w:r>
        <w:rPr>
          <w:rFonts w:ascii="맑은 고딕" w:cs="맑은 고딕" w:eastAsia="맑은 고딕" w:hAnsi="맑은 고딕"/>
        </w:rPr>
        <w:t xml:space="preserve"> should be updated to </w:t>
      </w:r>
      <w:r>
        <w:rPr>
          <w:rFonts w:ascii="Consolas" w:cs="Consolas" w:eastAsia="Consolas" w:hAnsi="Consolas"/>
          <w:color w:val="CF222E"/>
          <w:sz w:val="21"/>
          <w:szCs w:val="21"/>
          <w:shd w:fill="F6F8FA"/>
        </w:rPr>
        <w:t xml:space="preserve">postgresql</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Dynamic Dictionaries:</w:t>
      </w:r>
      <w:r>
        <w:rPr>
          <w:rFonts w:ascii="맑은 고딕" w:cs="맑은 고딕" w:eastAsia="맑은 고딕" w:hAnsi="맑은 고딕"/>
        </w:rPr>
        <w:t xml:space="preserve"> The MedDRA/ICD hierarchy and Product Dictionary are currently utilizing local data stubs or mock data arrays (like the hardcoded Data Sheets). A future milestone is integrating a dedicated dictionary microservice (e.g., WHO Drug Global, MedDRA APIs).</w:t>
      </w:r>
    </w:p>
    <w:p>
      <w:pPr>
        <w:pStyle w:val="ListParagraph"/>
        <w:numPr>
          <w:ilvl w:val="0"/>
          <w:numId w:val="2"/>
        </w:numPr>
        <w:spacing w:after="80" w:before="40"/>
      </w:pPr>
      <w:r>
        <w:rPr>
          <w:rFonts w:ascii="맑은 고딕" w:cs="맑은 고딕" w:eastAsia="맑은 고딕" w:hAnsi="맑은 고딕"/>
          <w:b/>
          <w:bCs/>
        </w:rPr>
        <w:t xml:space="preserve">Authentication:</w:t>
      </w:r>
      <w:r>
        <w:rPr>
          <w:rFonts w:ascii="맑은 고딕" w:cs="맑은 고딕" w:eastAsia="맑은 고딕" w:hAnsi="맑은 고딕"/>
        </w:rPr>
        <w:t xml:space="preserve"> Standard JWT-based auth and Role-Based Access Control (RBAC) middleware should be implemented in Express before exposing the API endpoints to a production network.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2026-06-15T07:24:44.028Z</dcterms:created>
  <dcterms:modified xsi:type="dcterms:W3CDTF">2026-06-15T07:24:44.029Z</dcterms:modified>
</cp:coreProperties>
</file>

<file path=docProps/custom.xml><?xml version="1.0" encoding="utf-8"?>
<Properties xmlns="http://schemas.openxmlformats.org/officeDocument/2006/custom-properties" xmlns:vt="http://schemas.openxmlformats.org/officeDocument/2006/docPropsVTypes"/>
</file>