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PROYECTO FINAL</w:t>
      </w:r>
    </w:p>
    <w:p>
      <w:pPr>
        <w:jc w:val="center"/>
      </w:pPr>
      <w:r>
        <w:rPr>
          <w:b/>
          <w:sz w:val="26"/>
        </w:rPr>
        <w:t>Análisis de Datos — Cafetería</w:t>
      </w:r>
    </w:p>
    <w:p>
      <w:pPr>
        <w:jc w:val="center"/>
      </w:pPr>
      <w:r>
        <w:rPr>
          <w:b/>
          <w:sz w:val="26"/>
        </w:rPr>
        <w:t>Predicción de Propina con Aprendizaje Supervisado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Introducción a la Ciencia de Datos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4320"/>
          </w:tcPr>
          <w:p>
            <w:r>
              <w:t>Ingeniería Electrónica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</w:t>
            </w:r>
          </w:p>
        </w:tc>
        <w:tc>
          <w:tcPr>
            <w:tcW w:type="dxa" w:w="4320"/>
          </w:tcPr>
          <w:p>
            <w:r>
              <w:t>ITM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entrega</w:t>
            </w:r>
          </w:p>
        </w:tc>
        <w:tc>
          <w:tcPr>
            <w:tcW w:type="dxa" w:w="4320"/>
          </w:tcPr>
          <w:p>
            <w:r>
              <w:t>Mayo de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Variable objetivo</w:t>
            </w:r>
          </w:p>
        </w:tc>
        <w:tc>
          <w:tcPr>
            <w:tcW w:type="dxa" w:w="4320"/>
          </w:tcPr>
          <w:p>
            <w:r>
              <w:t>Propina (pesos COP)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modelo</w:t>
            </w:r>
          </w:p>
        </w:tc>
        <w:tc>
          <w:tcPr>
            <w:tcW w:type="dxa" w:w="4320"/>
          </w:tcPr>
          <w:p>
            <w:r>
              <w:t>Regresión supervisada</w:t>
            </w:r>
          </w:p>
        </w:tc>
      </w:tr>
    </w:tbl>
    <w:p>
      <w:pPr>
        <w:pStyle w:val="Heading1"/>
      </w:pPr>
      <w:r>
        <w:t>1. Descripción del Dataset</w:t>
      </w:r>
    </w:p>
    <w:p>
      <w:r>
        <w:t>El dataset utilizado corresponde a la base de datos transaccional de una cafetería colombiana ubicada en el departamento del Tolima. El archivo original fue provisto en formato .xlsx y contiene registros de ventas entre 2018-02-01 y 2025-12-31.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Característica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Filas (registros)</w:t>
            </w:r>
          </w:p>
        </w:tc>
        <w:tc>
          <w:tcPr>
            <w:tcW w:type="dxa" w:w="4320"/>
          </w:tcPr>
          <w:p>
            <w:r>
              <w:t>30.132</w:t>
            </w:r>
          </w:p>
        </w:tc>
      </w:tr>
      <w:tr>
        <w:tc>
          <w:tcPr>
            <w:tcW w:type="dxa" w:w="4320"/>
          </w:tcPr>
          <w:p>
            <w:r>
              <w:t>Columnas (variables)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Período temporal</w:t>
            </w:r>
          </w:p>
        </w:tc>
        <w:tc>
          <w:tcPr>
            <w:tcW w:type="dxa" w:w="4320"/>
          </w:tcPr>
          <w:p>
            <w:r>
              <w:t>2018-02-01 a 2025-12-31</w:t>
            </w:r>
          </w:p>
        </w:tc>
      </w:tr>
      <w:tr>
        <w:tc>
          <w:tcPr>
            <w:tcW w:type="dxa" w:w="4320"/>
          </w:tcPr>
          <w:p>
            <w:r>
              <w:t>Duplicados detectados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Valores nulos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Variable objetivo</w:t>
            </w:r>
          </w:p>
        </w:tc>
        <w:tc>
          <w:tcPr>
            <w:tcW w:type="dxa" w:w="4320"/>
          </w:tcPr>
          <w:p>
            <w:r>
              <w:t>Propina (COP)</w:t>
            </w:r>
          </w:p>
        </w:tc>
      </w:tr>
    </w:tbl>
    <w:p>
      <w:r>
        <w:t>Las variables del dataset incluyen: información temporal (Fecha, Hora de Cobro), datos de la transacción (Mesa, Vendedor, Tipo, Producto, Categoría, Precio, Cantidad), características del cliente (Tipode, Tipo de pago) y datos geográficos (País, Departamento, Municipio, Zona, Latitud, Longitud).</w:t>
      </w:r>
    </w:p>
    <w:p>
      <w:pPr>
        <w:pStyle w:val="Heading1"/>
      </w:pPr>
      <w:r>
        <w:t>2. Proceso de Limpieza y Preprocesamiento</w:t>
      </w:r>
    </w:p>
    <w:p>
      <w:r>
        <w:t>Se identificaron cinco (5) problemas que requerían corrección antes de proceder al análisis y modelado: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Estrategia aplicada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 fila duplicada</w:t>
            </w:r>
          </w:p>
        </w:tc>
        <w:tc>
          <w:tcPr>
            <w:tcW w:type="dxa" w:w="2160"/>
          </w:tcPr>
          <w:p>
            <w:r>
              <w:t>Eliminación</w:t>
            </w:r>
          </w:p>
        </w:tc>
        <w:tc>
          <w:tcPr>
            <w:tcW w:type="dxa" w:w="2160"/>
          </w:tcPr>
          <w:p>
            <w:r>
              <w:t>Introduce sesgo estadístico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Typo 'Recuerrente'</w:t>
            </w:r>
          </w:p>
        </w:tc>
        <w:tc>
          <w:tcPr>
            <w:tcW w:type="dxa" w:w="2160"/>
          </w:tcPr>
          <w:p>
            <w:r>
              <w:t>Corrección texto</w:t>
            </w:r>
          </w:p>
        </w:tc>
        <w:tc>
          <w:tcPr>
            <w:tcW w:type="dxa" w:w="2160"/>
          </w:tcPr>
          <w:p>
            <w:r>
              <w:t>Error ortográfico en Tipode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Hora en formato decimal</w:t>
            </w:r>
          </w:p>
        </w:tc>
        <w:tc>
          <w:tcPr>
            <w:tcW w:type="dxa" w:w="2160"/>
          </w:tcPr>
          <w:p>
            <w:r>
              <w:t>Conversión (×24)</w:t>
            </w:r>
          </w:p>
        </w:tc>
        <w:tc>
          <w:tcPr>
            <w:tcW w:type="dxa" w:w="2160"/>
          </w:tcPr>
          <w:p>
            <w:r>
              <w:t>Mejor interpretabilidad (0–23)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Propina como fracción</w:t>
            </w:r>
          </w:p>
        </w:tc>
        <w:tc>
          <w:tcPr>
            <w:tcW w:type="dxa" w:w="2160"/>
          </w:tcPr>
          <w:p>
            <w:r>
              <w:t>Propina × Precio</w:t>
            </w:r>
          </w:p>
        </w:tc>
        <w:tc>
          <w:tcPr>
            <w:tcW w:type="dxa" w:w="2160"/>
          </w:tcPr>
          <w:p>
            <w:r>
              <w:t>Escala coherente con variable económica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1.182 outliers en Cantidad</w:t>
            </w:r>
          </w:p>
        </w:tc>
        <w:tc>
          <w:tcPr>
            <w:tcW w:type="dxa" w:w="2160"/>
          </w:tcPr>
          <w:p>
            <w:r>
              <w:t>Filtrado IQR</w:t>
            </w:r>
          </w:p>
        </w:tc>
        <w:tc>
          <w:tcPr>
            <w:tcW w:type="dxa" w:w="2160"/>
          </w:tcPr>
          <w:p>
            <w:r>
              <w:t>Reducen la generalización del modelo</w:t>
            </w:r>
          </w:p>
        </w:tc>
      </w:tr>
    </w:tbl>
    <w:p>
      <w:r>
        <w:t>Tras la limpieza el dataset quedó con 28.949 registros (reducción del 3.9%). No se realizó imputación ya que el dataset no presentaba valores nulos; todas las decisiones de eliminación fueron justificadas para preservar la integridad estadística de la muestra.</w:t>
      </w:r>
    </w:p>
    <w:p>
      <w:pPr>
        <w:pStyle w:val="Heading1"/>
      </w:pPr>
      <w:r>
        <w:t>3. Gráficos y Resultados Relevantes</w:t>
      </w:r>
    </w:p>
    <w:p>
      <w:pPr>
        <w:pStyle w:val="Heading2"/>
      </w:pPr>
      <w:r>
        <w:t>3.1 Distribución de la Variable Objetivo (Propina)</w:t>
      </w:r>
    </w:p>
    <w:p>
      <w:r>
        <w:t>Antes de la limpieza, la propina se encontraba almacenada como una fracción del precio (rango: 0.0005 – 0.002), lo que dificultaba su interpretación económica. Tras la transformación Propina = Propina_fracción × Precio, los valores quedaron expresados en pesos COP, con una media de $13 COP, una mediana de $9 COP y un rango entre $2 y $70 COP. Los montos resultantes son bajos en términos absolutos, consecuencia directa de la pequeña fracción aplicada sobre el precio.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9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ina_compar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Correlaciones con la Variable Objetivo</w:t>
      </w:r>
    </w:p>
    <w:p>
      <w:r>
        <w:t>El análisis de correlaciones sobre el dataset limpio (mapa de calor) reveló que tanto Precio (r = 0.832) como Cantidad (r = 0.825) presentan correlaciones altas con la Propina, lo cual es esperable dado que la propina se derivó del precio y este, a su vez, se relaciona con la cantidad facturada. La Hora de Cobro (r = 0.079) y la Mesa (r = -0.004) tienen correlaciones muy bajas, indicando que el momento del día o la ubicación física no influyen significativamente en el monto de la propina.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030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limp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30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Análisis por Vendedor y Zona</w:t>
      </w:r>
    </w:p>
    <w:p>
      <w:r>
        <w:t>El vendedor Ernesto concentra el mayor número de transacciones (3.439 ventas), seguido de cerca por Omar y Joel, con un reparto bastante equilibrado entre vendedores. En cuanto a las zonas geográficas del Tolima, la zona Sur registra el mayor volumen de ventas (5.644 transacciones), seguida de Ibagué y Norte. El tipo de pago Contado predomina sobre Crédito en una proporción de 72/28.</w:t>
      </w:r>
    </w:p>
    <w:p>
      <w:pPr>
        <w:pStyle w:val="Heading1"/>
      </w:pPr>
      <w:r>
        <w:t>4. Modelo de Aprendizaje Supervisado</w:t>
      </w:r>
    </w:p>
    <w:p>
      <w:r>
        <w:t>Dado que la variable objetivo (Propina) es continua, se planteó un problema de regresión. Se implementó un Random Forest Regressor por su robustez ante relaciones no lineales y su interpretabilidad mediante importancia de variables.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Algoritmo</w:t>
            </w:r>
          </w:p>
        </w:tc>
        <w:tc>
          <w:tcPr>
            <w:tcW w:type="dxa" w:w="4320"/>
          </w:tcPr>
          <w:p>
            <w:r>
              <w:t>Random Forest Regressor</w:t>
            </w:r>
          </w:p>
        </w:tc>
      </w:tr>
      <w:tr>
        <w:tc>
          <w:tcPr>
            <w:tcW w:type="dxa" w:w="4320"/>
          </w:tcPr>
          <w:p>
            <w:r>
              <w:t>División</w:t>
            </w:r>
          </w:p>
        </w:tc>
        <w:tc>
          <w:tcPr>
            <w:tcW w:type="dxa" w:w="4320"/>
          </w:tcPr>
          <w:p>
            <w:r>
              <w:t>80% train (23.159) / 20% test (5.790)</w:t>
            </w:r>
          </w:p>
        </w:tc>
      </w:tr>
      <w:tr>
        <w:tc>
          <w:tcPr>
            <w:tcW w:type="dxa" w:w="4320"/>
          </w:tcPr>
          <w:p>
            <w:r>
              <w:t>Features utilizadas</w:t>
            </w:r>
          </w:p>
        </w:tc>
        <w:tc>
          <w:tcPr>
            <w:tcW w:type="dxa" w:w="4320"/>
          </w:tcPr>
          <w:p>
            <w:r>
              <w:t>13 (Precio, Cantidad, Hora, Vendedor, Zona, etc.)</w:t>
            </w:r>
          </w:p>
        </w:tc>
      </w:tr>
      <w:tr>
        <w:tc>
          <w:tcPr>
            <w:tcW w:type="dxa" w:w="4320"/>
          </w:tcPr>
          <w:p>
            <w:r>
              <w:t>Optimización</w:t>
            </w:r>
          </w:p>
        </w:tc>
        <w:tc>
          <w:tcPr>
            <w:tcW w:type="dxa" w:w="4320"/>
          </w:tcPr>
          <w:p>
            <w:r>
              <w:t>GridSearchCV (3-fold CV)</w:t>
            </w:r>
          </w:p>
        </w:tc>
      </w:tr>
    </w:tbl>
    <w:p>
      <w:pPr>
        <w:pStyle w:val="Heading2"/>
      </w:pPr>
      <w:r>
        <w:t>4.1 Métricas de Desempeño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Modelo Base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Modelo Optimizado</w:t>
            </w:r>
          </w:p>
        </w:tc>
      </w:tr>
      <w:tr>
        <w:tc>
          <w:tcPr>
            <w:tcW w:type="dxa" w:w="2880"/>
          </w:tcPr>
          <w:p>
            <w:r>
              <w:t>RMSE (COP)</w:t>
            </w:r>
          </w:p>
        </w:tc>
        <w:tc>
          <w:tcPr>
            <w:tcW w:type="dxa" w:w="2880"/>
          </w:tcPr>
          <w:p>
            <w:r>
              <w:t>4.38</w:t>
            </w:r>
          </w:p>
        </w:tc>
        <w:tc>
          <w:tcPr>
            <w:tcW w:type="dxa" w:w="2880"/>
          </w:tcPr>
          <w:p>
            <w:r>
              <w:t>4.38</w:t>
            </w:r>
          </w:p>
        </w:tc>
      </w:tr>
      <w:tr>
        <w:tc>
          <w:tcPr>
            <w:tcW w:type="dxa" w:w="2880"/>
          </w:tcPr>
          <w:p>
            <w:r>
              <w:t>MAE (COP)</w:t>
            </w:r>
          </w:p>
        </w:tc>
        <w:tc>
          <w:tcPr>
            <w:tcW w:type="dxa" w:w="2880"/>
          </w:tcPr>
          <w:p>
            <w:r>
              <w:t>2.71</w:t>
            </w:r>
          </w:p>
        </w:tc>
        <w:tc>
          <w:tcPr>
            <w:tcW w:type="dxa" w:w="2880"/>
          </w:tcPr>
          <w:p>
            <w:r>
              <w:t>2.71</w:t>
            </w:r>
          </w:p>
        </w:tc>
      </w:tr>
      <w:tr>
        <w:tc>
          <w:tcPr>
            <w:tcW w:type="dxa" w:w="2880"/>
          </w:tcPr>
          <w:p>
            <w:r>
              <w:t>R²</w:t>
            </w:r>
          </w:p>
        </w:tc>
        <w:tc>
          <w:tcPr>
            <w:tcW w:type="dxa" w:w="2880"/>
          </w:tcPr>
          <w:p>
            <w:r>
              <w:t>0.8438</w:t>
            </w:r>
          </w:p>
        </w:tc>
        <w:tc>
          <w:tcPr>
            <w:tcW w:type="dxa" w:w="2880"/>
          </w:tcPr>
          <w:p>
            <w:r>
              <w:t>0.8438</w:t>
            </w:r>
          </w:p>
        </w:tc>
      </w:tr>
    </w:tbl>
    <w:p>
      <w:r>
        <w:t>El modelo explica aproximadamente el 84.4% de la varianza de la propina (R² = 0.8438), con un error absoluto medio de 2.71 COP. La optimización de hiperparámetros con GridSearchCV no produjo una mejora apreciable (variación de R² de −0.03%): el modelo optimizado resultó prácticamente idéntico al modelo base. Las variables más influyentes según el Random Forest fueron Precio (56% de la importancia), Cantidad (15%) y Vendedor (10%).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47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ho_vs_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7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03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ia_variab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Hallazgos y Conclusiones</w:t>
      </w:r>
    </w:p>
    <w:p>
      <w:pPr>
        <w:pStyle w:val="ListBullet"/>
      </w:pPr>
      <w:r>
        <w:t>El dataset no presentó valores nulos, lo que facilitó el preprocesamiento; el principal trabajo fue la corrección de formatos (Hora, Propina) y la eliminación de 1.182 outliers en Cantidad.</w:t>
      </w:r>
    </w:p>
    <w:p>
      <w:pPr>
        <w:pStyle w:val="ListBullet"/>
      </w:pPr>
      <w:r>
        <w:t>La propina está determinada principalmente por el precio y la cantidad del producto (r = 0.832 y r = 0.825 respectivamente), lo que se refleja en que Precio y Cantidad concentran la mayor parte de la importancia del modelo.</w:t>
      </w:r>
    </w:p>
    <w:p>
      <w:pPr>
        <w:pStyle w:val="ListBullet"/>
      </w:pPr>
      <w:r>
        <w:t>El modelo alcanza un R² de 0.844, explicando cerca del 84% de la varianza de la propina: un desempeño sólido para un problema de regresión con datos de negocio reales.</w:t>
      </w:r>
    </w:p>
    <w:p>
      <w:pPr>
        <w:pStyle w:val="ListBullet"/>
      </w:pPr>
      <w:r>
        <w:t>La optimización de hiperparámetros con GridSearchCV no mejoró el resultado base (variación de R² de −0.03%), lo que sugiere que el modelo base ya estaba bien ajustado para este conjunto de datos.</w:t>
      </w:r>
    </w:p>
    <w:p>
      <w:pPr>
        <w:pStyle w:val="ListBullet"/>
      </w:pPr>
      <w:r>
        <w:t>Vendedor, Zona y Tipo de pago son variables secundarias con baja influencia en la propina, pero útiles para el análisis del comportamiento de clientes.</w:t>
      </w:r>
    </w:p>
    <w:p>
      <w:pPr>
        <w:pStyle w:val="ListBullet"/>
      </w:pPr>
      <w:r>
        <w:t>Los valores de propina son muy bajos en términos absolutos (media de $13 COP), consecuencia de la fracción aplicada; conviene revisar la definición de negocio de esta variable en futuros análisis.</w:t>
      </w:r>
    </w:p>
    <w:p>
      <w:r>
        <w:t>En síntesis, el proyecto demuestra que un flujo completo de ciencia de datos —desde la inspección y limpieza hasta el modelado supervisado— puede aplicarse exitosamente a datos de negocio reales, generando un modelo predictivo con desempeño sólido y hallazgos accionables para la toma de decisiones.</w:t>
      </w:r>
    </w:p>
    <w:p>
      <w:pPr>
        <w:pStyle w:val="Heading1"/>
      </w:pPr>
      <w:r>
        <w:t>6. Bibliografía</w:t>
      </w:r>
    </w:p>
    <w:p>
      <w:r>
        <w:t>[1] McKinney, W. (2022). Pandas: Powerful Python data analysis toolkit. O'Reilly.</w:t>
      </w:r>
    </w:p>
    <w:p>
      <w:r>
        <w:t>[2] Healy, K. (2019). Data Visualization: A Practical Introduction. Princeton University Press.</w:t>
      </w:r>
    </w:p>
    <w:p>
      <w:r>
        <w:t>[3] Pedregosa, F. et al. (2011). Scikit-learn: Machine Learning in Python. JMLR, 12, 2825–2830.</w:t>
      </w:r>
    </w:p>
    <w:p>
      <w:r>
        <w:t>[4] Repositorio del curso: https://github.com/estebangonzalezITM/DataScience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