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Här är texten översatt till svenska:</w:t>
      </w:r>
    </w:p>
    <w:p>
      <w:r>
        <w:pict>
          <v:rect style="width:0;height:1.5pt" o:hralign="center" o:hrstd="t" o:hr="t"/>
        </w:pict>
      </w:r>
    </w:p>
    <w:bookmarkStart w:id="62" w:name="episodguide"/>
    <w:p>
      <w:pPr>
        <w:pStyle w:val="Heading1"/>
      </w:pPr>
      <w:r>
        <w:t xml:space="preserve">Episodguide</w:t>
      </w:r>
    </w:p>
    <w:p>
      <w:pPr>
        <w:pStyle w:val="FirstParagraph"/>
      </w:pPr>
      <w:r>
        <w:t xml:space="preserve">Varje episod kretsar kring en enskild tavelkupp. Verken är fiktiva men historiskt förankrade. Städerna är verkliga. De juridiska och institutionella ramverk som beskrivs — auktionspraxis, museibestämmelser, försäkringsstrukturer, provenancedokumentation — är korrekta.</w:t>
      </w:r>
    </w:p>
    <w:bookmarkStart w:id="26" w:name="episod-1-la-fille-au-châle-rouge"/>
    <w:p>
      <w:pPr>
        <w:pStyle w:val="Heading2"/>
      </w:pPr>
      <w:r>
        <w:t xml:space="preserve">Episod 1 — La Fille au Châle Rouge</w:t>
      </w:r>
    </w:p>
    <w:p>
      <w:pPr>
        <w:pStyle w:val="FirstParagraph"/>
      </w:pPr>
      <w:r>
        <w:rPr>
          <w:bCs/>
          <w:b/>
        </w:rPr>
        <w:t xml:space="preserve">Målningen:</w:t>
      </w:r>
      <w:r>
        <w:t xml:space="preserve"> </w:t>
      </w:r>
      <w:r>
        <w:t xml:space="preserve">“</w:t>
      </w:r>
      <w:r>
        <w:t xml:space="preserve">La Fille au Châle Rouge</w:t>
      </w:r>
      <w:r>
        <w:t xml:space="preserve">”</w:t>
      </w:r>
      <w:r>
        <w:t xml:space="preserve"> </w:t>
      </w:r>
      <w:r>
        <w:t xml:space="preserve">(Flickan med den röda sjalen), olja på duk, tillskriven en mindre postimpressionistisk konstnär, Paris, ca 1921.</w:t>
      </w:r>
    </w:p>
    <w:bookmarkStart w:id="20" w:name="provenans"/>
    <w:p>
      <w:pPr>
        <w:pStyle w:val="Heading3"/>
      </w:pPr>
      <w:r>
        <w:t xml:space="preserve">Provenans</w:t>
      </w:r>
    </w:p>
    <w:p>
      <w:pPr>
        <w:pStyle w:val="FirstParagraph"/>
      </w:pPr>
      <w:r>
        <w:t xml:space="preserve">Förvärvad av en parisisk konsthandlare från en judisk familj 1941 under ockupationstida tvång — familjen behövde ett utresetillstånd som handlaren kunde ordna. Målningen har passerat tre efterföljande försäljningar, var och en med dokumentation som noggrant undviker att nämna 1941. Den hänger för närvarande i en engelsk samlares salong i Mayfair, inköpt på auktion i Genève 2009. Säljarens provenansbeskrivning täckte perioden 1945 till nutid.</w:t>
      </w:r>
    </w:p>
    <w:bookmarkEnd w:id="20"/>
    <w:bookmarkStart w:id="21" w:name="öppning"/>
    <w:p>
      <w:pPr>
        <w:pStyle w:val="Heading3"/>
      </w:pPr>
      <w:r>
        <w:t xml:space="preserve">Öppning</w:t>
      </w:r>
    </w:p>
    <w:p>
      <w:pPr>
        <w:pStyle w:val="FirstParagraph"/>
      </w:pPr>
      <w:r>
        <w:t xml:space="preserve">En privatvisning på ett Londonkonstgalleri. Claire är där i professionellt syfte — hon har blivit ombedd att titta på något helt annat. Hon stannar framför ett fotografi i en katalog. Målningen på fotografiet finns inte i detta galleri. Hon vet var den är. Hon har vetat det i två år. Kameran stannar ett ögonblick på hennes ansikte innan bilden skärs till svart.</w:t>
      </w:r>
    </w:p>
    <w:bookmarkEnd w:id="21"/>
    <w:bookmarkStart w:id="22" w:name="berättelsen"/>
    <w:p>
      <w:pPr>
        <w:pStyle w:val="Heading3"/>
      </w:pPr>
      <w:r>
        <w:t xml:space="preserve">Berättelsen</w:t>
      </w:r>
    </w:p>
    <w:p>
      <w:pPr>
        <w:pStyle w:val="FirstParagraph"/>
      </w:pPr>
      <w:r>
        <w:t xml:space="preserve">Vi spolar tillbaka till The French House och den kväll Sara sa</w:t>
      </w:r>
      <w:r>
        <w:t xml:space="preserve"> </w:t>
      </w:r>
      <w:r>
        <w:t xml:space="preserve">“</w:t>
      </w:r>
      <w:r>
        <w:t xml:space="preserve">ta den bara</w:t>
      </w:r>
      <w:r>
        <w:t xml:space="preserve">”</w:t>
      </w:r>
      <w:r>
        <w:t xml:space="preserve">. Gruppen samlas. Tankeexperimentet övergår i en plan. William tar reda på mer om samlaren. Layla kartlägger säkerhetssystemet. Anton inspekterar målningen under förevändningen av en försäkringsvärdering — och bekräftar det Claire redan visste: verket är precis vad hon påstod, och dokumentationen är en konstruktion. Operationen är planerad till natten innan målningen ska transporteras till samlarens andra hem i Portugal.</w:t>
      </w:r>
    </w:p>
    <w:bookmarkEnd w:id="22"/>
    <w:bookmarkStart w:id="23" w:name="kuppen-komplikationen"/>
    <w:p>
      <w:pPr>
        <w:pStyle w:val="Heading3"/>
      </w:pPr>
      <w:r>
        <w:t xml:space="preserve">Kuppen &amp; komplikationen</w:t>
      </w:r>
    </w:p>
    <w:p>
      <w:pPr>
        <w:pStyle w:val="FirstParagraph"/>
      </w:pPr>
      <w:r>
        <w:t xml:space="preserve">Transporttidpunkten förändras utan förvarning. De har sex timmar mindre än planerat. Sara pressar in schemat på ett sätt som inte är bekvämt. Det som går fel är litet och mänskligt: en panikreaktion, ett ljus som lämnats på, en granne som är hemma när hon inte borde vara det. De löser det. Målningen förs till en parisisk adress. Ett brev skickas till en notarie. Förfalskningen hänger i Mayfair och kommer att hänga där tills, förmodligen, någon tittar tillräckligt noga. I slutet av episoden står samlaren framför den och yttrar något beundrande. Han beundrar Antons arbete. Det vet han inte.</w:t>
      </w:r>
    </w:p>
    <w:bookmarkEnd w:id="23"/>
    <w:bookmarkStart w:id="24" w:name="berättarfragment"/>
    <w:p>
      <w:pPr>
        <w:pStyle w:val="Heading3"/>
      </w:pPr>
      <w:r>
        <w:t xml:space="preserve">Berättarfragment</w:t>
      </w:r>
    </w:p>
    <w:p>
      <w:pPr>
        <w:pStyle w:val="FirstParagraph"/>
      </w:pPr>
      <w:r>
        <w:t xml:space="preserve">William:</w:t>
      </w:r>
      <w:r>
        <w:t xml:space="preserve"> </w:t>
      </w:r>
      <w:r>
        <w:rPr>
          <w:iCs/>
          <w:i/>
        </w:rPr>
        <w:t xml:space="preserve">“</w:t>
      </w:r>
      <w:r>
        <w:rPr>
          <w:iCs/>
          <w:i/>
        </w:rPr>
        <w:t xml:space="preserve">Den första skulle vara konceptbeviset. Det som talade om för oss om vi faktiskt klarade av det här.</w:t>
      </w:r>
      <w:r>
        <w:rPr>
          <w:iCs/>
          <w:i/>
        </w:rPr>
        <w:t xml:space="preserve">”</w:t>
      </w:r>
      <w:r>
        <w:rPr>
          <w:iCs/>
          <w:i/>
        </w:rPr>
        <w:t xml:space="preserve"> </w:t>
      </w:r>
      <w:r>
        <w:rPr>
          <w:iCs/>
          <w:i/>
        </w:rPr>
        <w:t xml:space="preserve">[Paus.]</w:t>
      </w:r>
      <w:r>
        <w:rPr>
          <w:iCs/>
          <w:i/>
        </w:rPr>
        <w:t xml:space="preserve"> </w:t>
      </w:r>
      <w:r>
        <w:rPr>
          <w:iCs/>
          <w:i/>
        </w:rPr>
        <w:t xml:space="preserve">“</w:t>
      </w:r>
      <w:r>
        <w:rPr>
          <w:iCs/>
          <w:i/>
        </w:rPr>
        <w:t xml:space="preserve">Vi trodde att det gick perfekt. Det var vårt första misstag.</w:t>
      </w:r>
      <w:r>
        <w:rPr>
          <w:iCs/>
          <w:i/>
        </w:rPr>
        <w:t xml:space="preserve">”</w:t>
      </w:r>
    </w:p>
    <w:bookmarkEnd w:id="24"/>
    <w:bookmarkStart w:id="25" w:name="vad-publiken-lär-sig"/>
    <w:p>
      <w:pPr>
        <w:pStyle w:val="Heading3"/>
      </w:pPr>
      <w:r>
        <w:t xml:space="preserve">Vad publiken lär sig</w:t>
      </w:r>
    </w:p>
    <w:p>
      <w:pPr>
        <w:pStyle w:val="FirstParagraph"/>
      </w:pPr>
      <w:r>
        <w:t xml:space="preserve">Washington-principerna: vad de är, vad de lovade, varför de misslyckades. Hur provenansdokumentation konstrueras och var luckorna finns. Vad</w:t>
      </w:r>
      <w:r>
        <w:t xml:space="preserve"> </w:t>
      </w:r>
      <w:r>
        <w:t xml:space="preserve">“</w:t>
      </w:r>
      <w:r>
        <w:t xml:space="preserve">förvärvad under tvång</w:t>
      </w:r>
      <w:r>
        <w:t xml:space="preserve">”</w:t>
      </w:r>
      <w:r>
        <w:t xml:space="preserve"> </w:t>
      </w:r>
      <w:r>
        <w:t xml:space="preserve">innebär juridiskt och varför det är så svårt att bevisa efter åttio år av efterföljande försäljningar.</w:t>
      </w:r>
    </w:p>
    <w:p>
      <w:r>
        <w:pict>
          <v:rect style="width:0;height:1.5pt" o:hralign="center" o:hrstd="t" o:hr="t"/>
        </w:pict>
      </w:r>
    </w:p>
    <w:bookmarkEnd w:id="25"/>
    <w:bookmarkEnd w:id="26"/>
    <w:bookmarkStart w:id="33" w:name="episod-2-studie-in-blau"/>
    <w:p>
      <w:pPr>
        <w:pStyle w:val="Heading2"/>
      </w:pPr>
      <w:r>
        <w:t xml:space="preserve">Episod 2 — Studie in Blau</w:t>
      </w:r>
    </w:p>
    <w:p>
      <w:pPr>
        <w:pStyle w:val="FirstParagraph"/>
      </w:pPr>
      <w:r>
        <w:rPr>
          <w:bCs/>
          <w:b/>
        </w:rPr>
        <w:t xml:space="preserve">Målningen:</w:t>
      </w:r>
      <w:r>
        <w:t xml:space="preserve"> </w:t>
      </w:r>
      <w:r>
        <w:t xml:space="preserve">“</w:t>
      </w:r>
      <w:r>
        <w:t xml:space="preserve">Studie in Blau</w:t>
      </w:r>
      <w:r>
        <w:t xml:space="preserve">”</w:t>
      </w:r>
      <w:r>
        <w:t xml:space="preserve"> </w:t>
      </w:r>
      <w:r>
        <w:t xml:space="preserve">(Studie i blått), gouache på papper, tjeckisk modernist, Prag, ca 1935.</w:t>
      </w:r>
    </w:p>
    <w:bookmarkStart w:id="27" w:name="provenans-1"/>
    <w:p>
      <w:pPr>
        <w:pStyle w:val="Heading3"/>
      </w:pPr>
      <w:r>
        <w:t xml:space="preserve">Provenans</w:t>
      </w:r>
    </w:p>
    <w:p>
      <w:pPr>
        <w:pStyle w:val="FirstParagraph"/>
      </w:pPr>
      <w:r>
        <w:t xml:space="preserve">Konfiskerad från en judisk samlare i Prag efter den tyska ockupationen av Tjeckoslovakien 1938. Samlaren deporterades 1942. Verket passerade genom den tyska statsapparaten till en privat samling i München, sedan till ett österrikiskt museum 1971 via en donation vars ursprung inte undersöktes. Museet är signatär till Washington-principerna. Verket ställs ut.</w:t>
      </w:r>
    </w:p>
    <w:bookmarkEnd w:id="27"/>
    <w:bookmarkStart w:id="28" w:name="öppning-1"/>
    <w:p>
      <w:pPr>
        <w:pStyle w:val="Heading3"/>
      </w:pPr>
      <w:r>
        <w:t xml:space="preserve">Öppning</w:t>
      </w:r>
    </w:p>
    <w:p>
      <w:pPr>
        <w:pStyle w:val="FirstParagraph"/>
      </w:pPr>
      <w:r>
        <w:t xml:space="preserve">Anton, ensam, i museets konservatorstudio i Wien. Han är där på legitima grunder — ett kontrakterat konserveringsbedömningsuppdrag. Han står framför ett helt annat verk. Men hans blick är någon annanstans. En vakt går igenom. Anton rör sig inte.</w:t>
      </w:r>
    </w:p>
    <w:bookmarkEnd w:id="28"/>
    <w:bookmarkStart w:id="29" w:name="berättelsen-1"/>
    <w:p>
      <w:pPr>
        <w:pStyle w:val="Heading3"/>
      </w:pPr>
      <w:r>
        <w:t xml:space="preserve">Berättelsen</w:t>
      </w:r>
    </w:p>
    <w:p>
      <w:pPr>
        <w:pStyle w:val="FirstParagraph"/>
      </w:pPr>
      <w:r>
        <w:t xml:space="preserve">Episoden utforskar vad det innebär att stjäla från en offentlig institution — de moraliska och operativa skillnaderna jämfört med en privat samlare. Gruppen är mindre bekväm. Claire är mest kluven; detta är precis den typ av fall Washington-principerna var avsedda att hantera. Hon skrev om det i sin avhandling. Museets ståndpunkt, när Layla hittar de interna kommunikationerna, är att provenansfrågan är</w:t>
      </w:r>
      <w:r>
        <w:t xml:space="preserve"> </w:t>
      </w:r>
      <w:r>
        <w:t xml:space="preserve">“</w:t>
      </w:r>
      <w:r>
        <w:t xml:space="preserve">under granskning</w:t>
      </w:r>
      <w:r>
        <w:t xml:space="preserve">”</w:t>
      </w:r>
      <w:r>
        <w:t xml:space="preserve">. Den har varit under granskning i elva år. Anton har ett specifikt och outsagt förhållande till det här verket — hans farfars familj förlorade saker under samma period, annat land. Han säger inte detta till gruppen.</w:t>
      </w:r>
    </w:p>
    <w:bookmarkEnd w:id="29"/>
    <w:bookmarkStart w:id="30" w:name="kuppen-komplikationen-1"/>
    <w:p>
      <w:pPr>
        <w:pStyle w:val="Heading3"/>
      </w:pPr>
      <w:r>
        <w:t xml:space="preserve">Kuppen &amp; komplikationen</w:t>
      </w:r>
    </w:p>
    <w:p>
      <w:pPr>
        <w:pStyle w:val="FirstParagraph"/>
      </w:pPr>
      <w:r>
        <w:t xml:space="preserve">Komplikationen är museets eget konserveringsarbete: verket är schemalagt för behandling, vilket innebär att det lagligen befinner sig i Antons händer i två dagar. Det är nästan för bekvämt, vilket är problemet — det kommer efteråt att se ut som ett insiderjobb, vilket det är. De behöver att försvinnandet ser ut att vara något helt annat. Layla skapar en dataincident som avleder museets uppmärksamhet vid det avgörande ögonblicket. Förfalskningen Anton lämnar kvar är hävdas vara bättre än originalet. Han betraktar inte detta som ironiskt.</w:t>
      </w:r>
    </w:p>
    <w:bookmarkEnd w:id="30"/>
    <w:bookmarkStart w:id="31" w:name="berättarfragment-1"/>
    <w:p>
      <w:pPr>
        <w:pStyle w:val="Heading3"/>
      </w:pPr>
      <w:r>
        <w:t xml:space="preserve">Berättarfragment</w:t>
      </w:r>
    </w:p>
    <w:p>
      <w:pPr>
        <w:pStyle w:val="FirstParagraph"/>
      </w:pPr>
      <w:r>
        <w:t xml:space="preserve">William:</w:t>
      </w:r>
      <w:r>
        <w:t xml:space="preserve"> </w:t>
      </w:r>
      <w:r>
        <w:rPr>
          <w:iCs/>
          <w:i/>
        </w:rPr>
        <w:t xml:space="preserve">“</w:t>
      </w:r>
      <w:r>
        <w:rPr>
          <w:iCs/>
          <w:i/>
        </w:rPr>
        <w:t xml:space="preserve">Anton talade aldrig om sin familj. Inte en gång, under hela tiden. Jag fick reda på det efteråt, av någon annan. Jag har tänkt ganska mycket på det — om det förändrade något. Det gjorde det inte. Men det borde ha betytt något att jag inte visste.</w:t>
      </w:r>
      <w:r>
        <w:rPr>
          <w:iCs/>
          <w:i/>
        </w:rPr>
        <w:t xml:space="preserve">”</w:t>
      </w:r>
    </w:p>
    <w:bookmarkEnd w:id="31"/>
    <w:bookmarkStart w:id="32" w:name="vad-publiken-lär-sig-1"/>
    <w:p>
      <w:pPr>
        <w:pStyle w:val="Heading3"/>
      </w:pPr>
      <w:r>
        <w:t xml:space="preserve">Vad publiken lär sig</w:t>
      </w:r>
    </w:p>
    <w:p>
      <w:pPr>
        <w:pStyle w:val="FirstParagraph"/>
      </w:pPr>
      <w:r>
        <w:t xml:space="preserve">Hur offentliga institutioner hanterar provenanstvister. Klyftan mellan att underteckna internationella avtal och att genomföra dem. Vad konserveringsbehandling innebär, och varför tillgång till ett verk under behandling är den mest intima kontakt en icke-ägare kan ha med en målning.</w:t>
      </w:r>
    </w:p>
    <w:p>
      <w:r>
        <w:pict>
          <v:rect style="width:0;height:1.5pt" o:hralign="center" o:hrstd="t" o:hr="t"/>
        </w:pict>
      </w:r>
    </w:p>
    <w:bookmarkEnd w:id="32"/>
    <w:bookmarkEnd w:id="33"/>
    <w:bookmarkStart w:id="40" w:name="episod-3-femme-à-la-fenêtre-soir"/>
    <w:p>
      <w:pPr>
        <w:pStyle w:val="Heading2"/>
      </w:pPr>
      <w:r>
        <w:t xml:space="preserve">Episod 3 — Femme à la Fenêtre, Soir</w:t>
      </w:r>
    </w:p>
    <w:p>
      <w:pPr>
        <w:pStyle w:val="FirstParagraph"/>
      </w:pPr>
      <w:r>
        <w:rPr>
          <w:bCs/>
          <w:b/>
        </w:rPr>
        <w:t xml:space="preserve">Målningen:</w:t>
      </w:r>
      <w:r>
        <w:t xml:space="preserve"> </w:t>
      </w:r>
      <w:r>
        <w:t xml:space="preserve">“</w:t>
      </w:r>
      <w:r>
        <w:t xml:space="preserve">Femme à la Fenêtre, Soir</w:t>
      </w:r>
      <w:r>
        <w:t xml:space="preserve">”</w:t>
      </w:r>
      <w:r>
        <w:t xml:space="preserve"> </w:t>
      </w:r>
      <w:r>
        <w:t xml:space="preserve">(Kvinna vid fönstret, kväll), olja på duk, fransk, ca 1938.</w:t>
      </w:r>
    </w:p>
    <w:bookmarkStart w:id="34" w:name="provenans-2"/>
    <w:p>
      <w:pPr>
        <w:pStyle w:val="Heading3"/>
      </w:pPr>
      <w:r>
        <w:t xml:space="preserve">Provenans</w:t>
      </w:r>
    </w:p>
    <w:p>
      <w:pPr>
        <w:pStyle w:val="FirstParagraph"/>
      </w:pPr>
      <w:r>
        <w:t xml:space="preserve">Såld av konstnären själv — en fransk judisk målare — till en konsthandlare 1940 för en bråkdel av sitt värde, i utbyte mot hjälp som utlovades men aldrig gavs. Konstnären dog 1943. Handlarens dödsbo sålde den 1967. Den befinner sig nu i en privat samling i Genève — tekniskt sett en stiftelse, med konsthistorisk betydelse angiven som sitt mandat.</w:t>
      </w:r>
    </w:p>
    <w:bookmarkEnd w:id="34"/>
    <w:bookmarkStart w:id="35" w:name="öppning-2"/>
    <w:p>
      <w:pPr>
        <w:pStyle w:val="Heading3"/>
      </w:pPr>
      <w:r>
        <w:t xml:space="preserve">Öppning</w:t>
      </w:r>
    </w:p>
    <w:p>
      <w:pPr>
        <w:pStyle w:val="FirstParagraph"/>
      </w:pPr>
      <w:r>
        <w:t xml:space="preserve">Claire och William på en mottagning i Genève. De är där som sig själva — hon har blivit inbjuden att tala vid ett symposium; han är hennes gäst. Målningen hänger på väggen. De står framför den och talar om något helt annat. Värden närmar sig och säger något om stiftelsens engagemang för allmänhetens tillgång.</w:t>
      </w:r>
    </w:p>
    <w:bookmarkEnd w:id="35"/>
    <w:bookmarkStart w:id="36" w:name="berättelsen-2"/>
    <w:p>
      <w:pPr>
        <w:pStyle w:val="Heading3"/>
      </w:pPr>
      <w:r>
        <w:t xml:space="preserve">Berättelsen</w:t>
      </w:r>
    </w:p>
    <w:p>
      <w:pPr>
        <w:pStyle w:val="FirstParagraph"/>
      </w:pPr>
      <w:r>
        <w:t xml:space="preserve">Genève introducerar konstvärldens finansiella arkitektur — stiftelser, ägarstrukturer, de specifika sätt på vilka privat ägande tvättas till något som låter institutionellt respektabelt. William är mer hemma här än någon annanstans i serien; detta gränsar till hans professionella värld. Han är också mer obekväm, av samma anledning. Konstnärens dödsbo har en levande arvinge — en syssonson i Lyon — som inte vet att verket existerar och vars juridiska anspråk skulle vara tydligt om hon kunde bevisa att 1940 års försäljning skedde under tvång.</w:t>
      </w:r>
    </w:p>
    <w:bookmarkEnd w:id="36"/>
    <w:bookmarkStart w:id="37" w:name="kuppen-komplikationen-2"/>
    <w:p>
      <w:pPr>
        <w:pStyle w:val="Heading3"/>
      </w:pPr>
      <w:r>
        <w:t xml:space="preserve">Kuppen &amp; komplikationen</w:t>
      </w:r>
    </w:p>
    <w:p>
      <w:pPr>
        <w:pStyle w:val="FirstParagraph"/>
      </w:pPr>
      <w:r>
        <w:t xml:space="preserve">Operationen löper genom symposiet. Claire, på scen och framför sin avhandling, håller också koll på klockan. Komplikationen är att stiftelsens direktör har blivit genuint intresserad av Claire och bjuder in henne till en privatvisning följande morgon — just den morgon de behöver att hon är någon annanstans. Hon deltar i visningen. Hon ser saker. Hon berättar för de andra. De anpassar sig. Tajmingen är den hårdaste hittills. Sara sover inte.</w:t>
      </w:r>
    </w:p>
    <w:bookmarkEnd w:id="37"/>
    <w:bookmarkStart w:id="38" w:name="berättarfragment-2"/>
    <w:p>
      <w:pPr>
        <w:pStyle w:val="Heading3"/>
      </w:pPr>
      <w:r>
        <w:t xml:space="preserve">Berättarfragment</w:t>
      </w:r>
    </w:p>
    <w:p>
      <w:pPr>
        <w:pStyle w:val="FirstParagraph"/>
      </w:pPr>
      <w:r>
        <w:t xml:space="preserve">William:</w:t>
      </w:r>
      <w:r>
        <w:t xml:space="preserve"> </w:t>
      </w:r>
      <w:r>
        <w:rPr>
          <w:iCs/>
          <w:i/>
        </w:rPr>
        <w:t xml:space="preserve">“</w:t>
      </w:r>
      <w:r>
        <w:rPr>
          <w:iCs/>
          <w:i/>
        </w:rPr>
        <w:t xml:space="preserve">Claire höll det bästa föredrag jag någonsin hört henne hålla den kvällen. Efteråt frågade jag henne hur hon hade lyckats koncentrera sig. Hon sa:</w:t>
      </w:r>
      <w:r>
        <w:rPr>
          <w:iCs/>
          <w:i/>
        </w:rPr>
        <w:t xml:space="preserve"> </w:t>
      </w:r>
      <w:r>
        <w:rPr>
          <w:iCs/>
          <w:i/>
        </w:rPr>
        <w:t xml:space="preserve">‘</w:t>
      </w:r>
      <w:r>
        <w:rPr>
          <w:iCs/>
          <w:i/>
        </w:rPr>
        <w:t xml:space="preserve">Jag koncentrerade mig inte. Jag räknade.</w:t>
      </w:r>
      <w:r>
        <w:rPr>
          <w:iCs/>
          <w:i/>
        </w:rPr>
        <w:t xml:space="preserve">’</w:t>
      </w:r>
      <w:r>
        <w:rPr>
          <w:iCs/>
          <w:i/>
        </w:rPr>
        <w:t xml:space="preserve"> </w:t>
      </w:r>
      <w:r>
        <w:rPr>
          <w:iCs/>
          <w:i/>
        </w:rPr>
        <w:t xml:space="preserve">Jag frågade inte vad.</w:t>
      </w:r>
      <w:r>
        <w:rPr>
          <w:iCs/>
          <w:i/>
        </w:rPr>
        <w:t xml:space="preserve">”</w:t>
      </w:r>
    </w:p>
    <w:bookmarkEnd w:id="38"/>
    <w:bookmarkStart w:id="39" w:name="vad-publiken-lär-sig-2"/>
    <w:p>
      <w:pPr>
        <w:pStyle w:val="Heading3"/>
      </w:pPr>
      <w:r>
        <w:t xml:space="preserve">Vad publiken lär sig</w:t>
      </w:r>
    </w:p>
    <w:p>
      <w:pPr>
        <w:pStyle w:val="FirstParagraph"/>
      </w:pPr>
      <w:r>
        <w:t xml:space="preserve">Hur konststiftelser och ägarstrukturer fungerar och varför de är det föredragna fordonet för omstridda samlingar. Washington-principernas specifika bestämmelser kring privata innehav. Vad som hände judiska konstnärer — inte bara samlare — under ockupationen.</w:t>
      </w:r>
    </w:p>
    <w:p>
      <w:r>
        <w:pict>
          <v:rect style="width:0;height:1.5pt" o:hralign="center" o:hrstd="t" o:hr="t"/>
        </w:pict>
      </w:r>
    </w:p>
    <w:bookmarkEnd w:id="39"/>
    <w:bookmarkEnd w:id="40"/>
    <w:bookmarkStart w:id="47" w:name="episod-4-de-tuin-in-oktober"/>
    <w:p>
      <w:pPr>
        <w:pStyle w:val="Heading2"/>
      </w:pPr>
      <w:r>
        <w:t xml:space="preserve">Episod 4 — De Tuin in Oktober</w:t>
      </w:r>
    </w:p>
    <w:p>
      <w:pPr>
        <w:pStyle w:val="FirstParagraph"/>
      </w:pPr>
      <w:r>
        <w:rPr>
          <w:bCs/>
          <w:b/>
        </w:rPr>
        <w:t xml:space="preserve">Målningen:</w:t>
      </w:r>
      <w:r>
        <w:t xml:space="preserve"> </w:t>
      </w:r>
      <w:r>
        <w:t xml:space="preserve">“</w:t>
      </w:r>
      <w:r>
        <w:t xml:space="preserve">De Tuin in Oktober</w:t>
      </w:r>
      <w:r>
        <w:t xml:space="preserve">”</w:t>
      </w:r>
      <w:r>
        <w:t xml:space="preserve"> </w:t>
      </w:r>
      <w:r>
        <w:t xml:space="preserve">(Trädgården i oktober), olja på panel, holländsk guldålder, ca 1670.</w:t>
      </w:r>
    </w:p>
    <w:bookmarkStart w:id="41" w:name="provenans-3"/>
    <w:p>
      <w:pPr>
        <w:pStyle w:val="Heading3"/>
      </w:pPr>
      <w:r>
        <w:t xml:space="preserve">Provenans</w:t>
      </w:r>
    </w:p>
    <w:p>
      <w:pPr>
        <w:pStyle w:val="FirstParagraph"/>
      </w:pPr>
      <w:r>
        <w:t xml:space="preserve">Provenienkedjan är lång och till synes ren fram till 1940, då en lucka på sex år uppträder i dokumentationen. Verket dyker upp igen i Amsterdam 1946 i en holländsk kollaboratörs dödsbo. Det har sålts tre gånger sedan dess, varje gång med dokumentation som framställer återuppträdandet 1946 som ett krigsåterförande snarare än ett krigsförvärv. Det tillhör för närvarande en rotterdamsk sjöfartsdynasti.</w:t>
      </w:r>
    </w:p>
    <w:bookmarkEnd w:id="41"/>
    <w:bookmarkStart w:id="42" w:name="öppning-3"/>
    <w:p>
      <w:pPr>
        <w:pStyle w:val="Heading3"/>
      </w:pPr>
      <w:r>
        <w:t xml:space="preserve">Öppning</w:t>
      </w:r>
    </w:p>
    <w:p>
      <w:pPr>
        <w:pStyle w:val="FirstParagraph"/>
      </w:pPr>
      <w:r>
        <w:t xml:space="preserve">Layla, i ett serverrum hon inte borde befinna sig i, kopplar en enhet till en port bakom ett rack och följer en timer i sin telefon. Dörrvredet rör sig. Hon tittar inte upp.</w:t>
      </w:r>
    </w:p>
    <w:bookmarkEnd w:id="42"/>
    <w:bookmarkStart w:id="43" w:name="berättelsen-3"/>
    <w:p>
      <w:pPr>
        <w:pStyle w:val="Heading3"/>
      </w:pPr>
      <w:r>
        <w:t xml:space="preserve">Berättelsen</w:t>
      </w:r>
    </w:p>
    <w:p>
      <w:pPr>
        <w:pStyle w:val="FirstParagraph"/>
      </w:pPr>
      <w:r>
        <w:t xml:space="preserve">Episoden är delvis Laylas berättelse — det mest utdragna fokuset på henne vi har haft. Rotterdamfamiljens digitala säkerhet är seriös; detta är den första operationen där Layla verkligen arbetar vid gränsen av sin förmåga, och episoden förtjänar tid inne i hennes perspektiv. Sjöfartsdynastin har medlemmar som vet vad de äger och medlemmar som inte gör det, vilket skapar en intern spänning inom familjen som gruppen kan utnyttja.</w:t>
      </w:r>
    </w:p>
    <w:bookmarkEnd w:id="43"/>
    <w:bookmarkStart w:id="44" w:name="kuppen-komplikationen-3"/>
    <w:p>
      <w:pPr>
        <w:pStyle w:val="Heading3"/>
      </w:pPr>
      <w:r>
        <w:t xml:space="preserve">Kuppen &amp; komplikationen</w:t>
      </w:r>
    </w:p>
    <w:p>
      <w:pPr>
        <w:pStyle w:val="FirstParagraph"/>
      </w:pPr>
      <w:r>
        <w:t xml:space="preserve">Komplikationen är att någon annan tittar på samma målning — en legitim forskare, anlitad av en arvinge till den ursprunglige ägaren, som självständigt har spårat provenansluckan och är nära att publicera. Om hon publicerar innan operationen blir målningen en offentlig kontrovers och operationen omöjlig. Om hon publicerar efter att målningen försvunnit blir hon misstänkt. De behöver tajma detta exakt. De behöver också tala med henne utan att berätta något. Layla hanterar detta. Hennes familjs historia av fördrivning ger henne en specifik förtrogenhet med att tala runt saker.</w:t>
      </w:r>
    </w:p>
    <w:bookmarkEnd w:id="44"/>
    <w:bookmarkStart w:id="45" w:name="berättarfragment-3"/>
    <w:p>
      <w:pPr>
        <w:pStyle w:val="Heading3"/>
      </w:pPr>
      <w:r>
        <w:t xml:space="preserve">Berättarfragment</w:t>
      </w:r>
    </w:p>
    <w:p>
      <w:pPr>
        <w:pStyle w:val="FirstParagraph"/>
      </w:pPr>
      <w:r>
        <w:t xml:space="preserve">William:</w:t>
      </w:r>
      <w:r>
        <w:t xml:space="preserve"> </w:t>
      </w:r>
      <w:r>
        <w:rPr>
          <w:iCs/>
          <w:i/>
        </w:rPr>
        <w:t xml:space="preserve">“</w:t>
      </w:r>
      <w:r>
        <w:rPr>
          <w:iCs/>
          <w:i/>
        </w:rPr>
        <w:t xml:space="preserve">Layla var den som kunde tala med forskaren utan att ljuga för henne. Inte för att hon är en dålig lögnare — hon är en utmärkt lögnare — utan för att hon förstod vad kvinnan egentligen frågade. Jag tror att hon kände igen något. Hon sa aldrig vad.</w:t>
      </w:r>
      <w:r>
        <w:rPr>
          <w:iCs/>
          <w:i/>
        </w:rPr>
        <w:t xml:space="preserve">”</w:t>
      </w:r>
    </w:p>
    <w:bookmarkEnd w:id="45"/>
    <w:bookmarkStart w:id="46" w:name="vad-publiken-lär-sig-3"/>
    <w:p>
      <w:pPr>
        <w:pStyle w:val="Heading3"/>
      </w:pPr>
      <w:r>
        <w:t xml:space="preserve">Vad publiken lär sig</w:t>
      </w:r>
    </w:p>
    <w:p>
      <w:pPr>
        <w:pStyle w:val="FirstParagraph"/>
      </w:pPr>
      <w:r>
        <w:t xml:space="preserve">Hur provenansluckor skapas, upprätthålls och slutligen hittas. De specifika mekanismer genom vilka holländska guldåldersverk plundrades och hur många som fortfarande finns i holländska institutionella och privata samlingar. Skillnaden mellan en målning med en lucka i sin dokumentation och en med en förfalskad.</w:t>
      </w:r>
    </w:p>
    <w:p>
      <w:r>
        <w:pict>
          <v:rect style="width:0;height:1.5pt" o:hralign="center" o:hrstd="t" o:hr="t"/>
        </w:pict>
      </w:r>
    </w:p>
    <w:bookmarkEnd w:id="46"/>
    <w:bookmarkEnd w:id="47"/>
    <w:bookmarkStart w:id="54" w:name="episod-5-bildnis-einer-unbekannten"/>
    <w:p>
      <w:pPr>
        <w:pStyle w:val="Heading2"/>
      </w:pPr>
      <w:r>
        <w:t xml:space="preserve">Episod 5 — Bildnis Einer Unbekannten</w:t>
      </w:r>
    </w:p>
    <w:p>
      <w:pPr>
        <w:pStyle w:val="FirstParagraph"/>
      </w:pPr>
      <w:r>
        <w:rPr>
          <w:bCs/>
          <w:b/>
        </w:rPr>
        <w:t xml:space="preserve">Målningen:</w:t>
      </w:r>
      <w:r>
        <w:t xml:space="preserve"> </w:t>
      </w:r>
      <w:r>
        <w:t xml:space="preserve">“</w:t>
      </w:r>
      <w:r>
        <w:t xml:space="preserve">Bildnis Einer Unbekannten</w:t>
      </w:r>
      <w:r>
        <w:t xml:space="preserve">”</w:t>
      </w:r>
      <w:r>
        <w:t xml:space="preserve"> </w:t>
      </w:r>
      <w:r>
        <w:t xml:space="preserve">(Porträtt av en okänd kvinna), olja på duk, österrikisk, ca 1912.</w:t>
      </w:r>
    </w:p>
    <w:bookmarkStart w:id="48" w:name="provenans-4"/>
    <w:p>
      <w:pPr>
        <w:pStyle w:val="Heading3"/>
      </w:pPr>
      <w:r>
        <w:t xml:space="preserve">Provenans</w:t>
      </w:r>
    </w:p>
    <w:p>
      <w:pPr>
        <w:pStyle w:val="FirstParagraph"/>
      </w:pPr>
      <w:r>
        <w:t xml:space="preserve">Wien, 1938. En framstående judisk bankfamiljs samling, beslagtagen enligt Nürnberglagarna inom veckor efter Anschluss. Porträttet passerade genom Führermuseum-röret — avsett för Hitlers planerade museum i Linz — och avleddes under krigets sista månader till ett privat gömsle. Dess efterkrigsresa är dunkel på ett sätt som antyder medveten fördunkling. Det ägs nu av en europeisk samlare med kontakter till flera regeringar. Han är inte någon som förlorar saker med grace.</w:t>
      </w:r>
    </w:p>
    <w:bookmarkEnd w:id="48"/>
    <w:bookmarkStart w:id="49" w:name="öppning-4"/>
    <w:p>
      <w:pPr>
        <w:pStyle w:val="Heading3"/>
      </w:pPr>
      <w:r>
        <w:t xml:space="preserve">Öppning</w:t>
      </w:r>
    </w:p>
    <w:p>
      <w:pPr>
        <w:pStyle w:val="FirstParagraph"/>
      </w:pPr>
      <w:r>
        <w:t xml:space="preserve">Hela gänget, i Wien, vid vad som verkar vara en festmiddag. De är välklädda. Glas höjs. Något i kroppsspråket stämmer inte — inte inom gruppen, utan i bildens utkant. Någon vid ett annat bord iakttar.</w:t>
      </w:r>
    </w:p>
    <w:bookmarkEnd w:id="49"/>
    <w:bookmarkStart w:id="50" w:name="berättelsen-4"/>
    <w:p>
      <w:pPr>
        <w:pStyle w:val="Heading3"/>
      </w:pPr>
      <w:r>
        <w:t xml:space="preserve">Berättelsen</w:t>
      </w:r>
    </w:p>
    <w:p>
      <w:pPr>
        <w:pStyle w:val="FirstParagraph"/>
      </w:pPr>
      <w:r>
        <w:t xml:space="preserve">Den femte episoden är där serien drar åt. Samlaren är inte ett museum eller en familj med motstridiga intressen — han är en enskild, uppmärksam, välförbunden individ som förvärvade det här verket med full vetskap om vad det var och har säkrat det därefter. Det är också episoden där det felaktiga förvärvet sker — ett andra verk tas av misstag, eller är det med avsikt av någon i gruppen som agerar på egen hand. Episoden löser inte detta. Gruppen diskuterar det inte direkt. Något har förskjutits.</w:t>
      </w:r>
    </w:p>
    <w:bookmarkEnd w:id="50"/>
    <w:bookmarkStart w:id="51" w:name="kuppen-komplikationen-4"/>
    <w:p>
      <w:pPr>
        <w:pStyle w:val="Heading3"/>
      </w:pPr>
      <w:r>
        <w:t xml:space="preserve">Kuppen &amp; komplikationen</w:t>
      </w:r>
    </w:p>
    <w:p>
      <w:pPr>
        <w:pStyle w:val="FirstParagraph"/>
      </w:pPr>
      <w:r>
        <w:t xml:space="preserve">Operationen lyckas. Porträttet når Wiens provenansforskakommission, anonymt, med dokumentation. Det andra verket nämns inte i operationens debrief. I berättarramen pausar William innan han svarar på en fråga om Wien. Intervjuaren noterar det. Publiken också.</w:t>
      </w:r>
    </w:p>
    <w:bookmarkEnd w:id="51"/>
    <w:bookmarkStart w:id="52" w:name="berättarfragment-4"/>
    <w:p>
      <w:pPr>
        <w:pStyle w:val="Heading3"/>
      </w:pPr>
      <w:r>
        <w:t xml:space="preserve">Berättarfragment</w:t>
      </w:r>
    </w:p>
    <w:p>
      <w:pPr>
        <w:pStyle w:val="FirstParagraph"/>
      </w:pPr>
      <w:r>
        <w:t xml:space="preserve">William:</w:t>
      </w:r>
      <w:r>
        <w:t xml:space="preserve"> </w:t>
      </w:r>
      <w:r>
        <w:rPr>
          <w:iCs/>
          <w:i/>
        </w:rPr>
        <w:t xml:space="preserve">“</w:t>
      </w:r>
      <w:r>
        <w:rPr>
          <w:iCs/>
          <w:i/>
        </w:rPr>
        <w:t xml:space="preserve">Wien är det jag tänker på. Inte på grund av vad som gick fel — ingenting gick tekniskt fel. Utan på grund av vad vi inte sa till varandra efteråt. Den middagen i öppningen. Vi firade. Jag är fortfarande inte säker på vad.</w:t>
      </w:r>
      <w:r>
        <w:rPr>
          <w:iCs/>
          <w:i/>
        </w:rPr>
        <w:t xml:space="preserve">”</w:t>
      </w:r>
    </w:p>
    <w:bookmarkEnd w:id="52"/>
    <w:bookmarkStart w:id="53" w:name="vad-publiken-lär-sig-4"/>
    <w:p>
      <w:pPr>
        <w:pStyle w:val="Heading3"/>
      </w:pPr>
      <w:r>
        <w:t xml:space="preserve">Vad publiken lär sig</w:t>
      </w:r>
    </w:p>
    <w:p>
      <w:pPr>
        <w:pStyle w:val="FirstParagraph"/>
      </w:pPr>
      <w:r>
        <w:t xml:space="preserve">Führermuseum-projektet och den skala av planerad kulturell appropriering det representerade. Den österrikiska regeringens specifika och komplicerade förhållande till restitution. Hur kommisioner av provenansforskare fungerar och varför de kroniskt är underfinansierade.</w:t>
      </w:r>
    </w:p>
    <w:p>
      <w:r>
        <w:pict>
          <v:rect style="width:0;height:1.5pt" o:hralign="center" o:hrstd="t" o:hr="t"/>
        </w:pict>
      </w:r>
    </w:p>
    <w:bookmarkEnd w:id="53"/>
    <w:bookmarkEnd w:id="54"/>
    <w:bookmarkStart w:id="61" w:name="episod-6-o-jardim-das-laranjeiras"/>
    <w:p>
      <w:pPr>
        <w:pStyle w:val="Heading2"/>
      </w:pPr>
      <w:r>
        <w:t xml:space="preserve">Episod 6 — O Jardim das Laranjeiras</w:t>
      </w:r>
    </w:p>
    <w:p>
      <w:pPr>
        <w:pStyle w:val="FirstParagraph"/>
      </w:pPr>
      <w:r>
        <w:rPr>
          <w:bCs/>
          <w:b/>
        </w:rPr>
        <w:t xml:space="preserve">Målningen:</w:t>
      </w:r>
      <w:r>
        <w:t xml:space="preserve"> </w:t>
      </w:r>
      <w:r>
        <w:t xml:space="preserve">“</w:t>
      </w:r>
      <w:r>
        <w:t xml:space="preserve">O Jardim das Laranjeiras</w:t>
      </w:r>
      <w:r>
        <w:t xml:space="preserve">”</w:t>
      </w:r>
      <w:r>
        <w:t xml:space="preserve"> </w:t>
      </w:r>
      <w:r>
        <w:t xml:space="preserve">(Apelsinlunden), olja på duk, portugisisk, ca 1928.</w:t>
      </w:r>
    </w:p>
    <w:bookmarkStart w:id="55" w:name="provenans-5"/>
    <w:p>
      <w:pPr>
        <w:pStyle w:val="Heading3"/>
      </w:pPr>
      <w:r>
        <w:t xml:space="preserve">Provenans</w:t>
      </w:r>
    </w:p>
    <w:p>
      <w:pPr>
        <w:pStyle w:val="FirstParagraph"/>
      </w:pPr>
      <w:r>
        <w:t xml:space="preserve">Målningens ursprunglige ägare var en sefardisk judisk familj i Lissabon med affärsförbindelser över hela Europa. Verket beslagtogs inte utan såldes 1943 under ekonomisk press skapad av krigets störning av familjens affärsverksamhet — tekniskt sett en frivillig försäljning, i praktiken inte. Dess juridiska status är den mest tvetydiga av alla verk i serien. Portugal undertecknade Washington-principerna. Målningen ägs av en lissabonsk institution som känner till historiken och har intagit ståndpunkten att försäljningen var frivillig och därför giltig.</w:t>
      </w:r>
    </w:p>
    <w:bookmarkEnd w:id="55"/>
    <w:bookmarkStart w:id="56" w:name="öppning-5"/>
    <w:p>
      <w:pPr>
        <w:pStyle w:val="Heading3"/>
      </w:pPr>
      <w:r>
        <w:t xml:space="preserve">Öppning</w:t>
      </w:r>
    </w:p>
    <w:p>
      <w:pPr>
        <w:pStyle w:val="FirstParagraph"/>
      </w:pPr>
      <w:r>
        <w:t xml:space="preserve">William ensam i intervjurummet. Intervjuaren frågar:</w:t>
      </w:r>
      <w:r>
        <w:t xml:space="preserve"> </w:t>
      </w:r>
      <w:r>
        <w:t xml:space="preserve">“</w:t>
      </w:r>
      <w:r>
        <w:t xml:space="preserve">Varför Lissabon?</w:t>
      </w:r>
      <w:r>
        <w:t xml:space="preserve">”</w:t>
      </w:r>
      <w:r>
        <w:t xml:space="preserve"> </w:t>
      </w:r>
      <w:r>
        <w:t xml:space="preserve">William är tyst en lång stund. Sedan:</w:t>
      </w:r>
      <w:r>
        <w:t xml:space="preserve"> </w:t>
      </w:r>
      <w:r>
        <w:t xml:space="preserve">“</w:t>
      </w:r>
      <w:r>
        <w:t xml:space="preserve">För att det var den sista vi trodde att vi skulle göra.</w:t>
      </w:r>
      <w:r>
        <w:t xml:space="preserve">”</w:t>
      </w:r>
    </w:p>
    <w:bookmarkEnd w:id="56"/>
    <w:bookmarkStart w:id="57" w:name="berättelsen-5"/>
    <w:p>
      <w:pPr>
        <w:pStyle w:val="Heading3"/>
      </w:pPr>
      <w:r>
        <w:t xml:space="preserve">Berättelsen</w:t>
      </w:r>
    </w:p>
    <w:p>
      <w:pPr>
        <w:pStyle w:val="FirstParagraph"/>
      </w:pPr>
      <w:r>
        <w:t xml:space="preserve">Den sista operationen är den mest juridiskt och moraliskt komplexa. Tvetydigheten kring försäljningen — tekniskt frivillig, praktiskt tvingad — innebär att gruppen saknar ett rent provenansmässigt argument, bara ett mänskligt. Claire tar detta personligt på ett nytt sätt; familjen Marchands målning i den första episoden såldes också under tekniskt lagligt tvång. Episoden speglar början. I berättarramen tar intervjun en vändning: en fråga ställs om ett specifikt verk — inte Lissabonmålningen, utan det andra verket från Wien. William stelnar. Han rekonstruerar vad intervjuaren vet, vad frågan innebär, vem som skickat dem.</w:t>
      </w:r>
    </w:p>
    <w:bookmarkEnd w:id="57"/>
    <w:bookmarkStart w:id="58" w:name="kuppen-komplikationen-5"/>
    <w:p>
      <w:pPr>
        <w:pStyle w:val="Heading3"/>
      </w:pPr>
      <w:r>
        <w:t xml:space="preserve">Kuppen &amp; komplikationen</w:t>
      </w:r>
    </w:p>
    <w:p>
      <w:pPr>
        <w:pStyle w:val="FirstParagraph"/>
      </w:pPr>
      <w:r>
        <w:t xml:space="preserve">Lissabonoperationen genomförs. Något från Wienensoden dyker upp igen vid exakt fel tillfälle. Gruppen är splittrad mellan två problem samtidigt. Operationen lyckas och misslyckas i olika mått — målningen återlämnas till familjens överlevande ättling, men priset är information. William, i intervjurummet, förstår mitt i ett svar att han inte befinner sig i ett förhör. Han har berättat den här historien för någon som behövde höra den. Han slutar. Han tittar på intervjuaren. Intervjuaren tittar tillbaka. Inspelaren är fortfarande igång.</w:t>
      </w:r>
    </w:p>
    <w:bookmarkEnd w:id="58"/>
    <w:bookmarkStart w:id="59" w:name="berättarfragment-5"/>
    <w:p>
      <w:pPr>
        <w:pStyle w:val="Heading3"/>
      </w:pPr>
      <w:r>
        <w:t xml:space="preserve">Berättarfragment</w:t>
      </w:r>
    </w:p>
    <w:p>
      <w:pPr>
        <w:pStyle w:val="FirstParagraph"/>
      </w:pPr>
      <w:r>
        <w:t xml:space="preserve">William: [lång paus]</w:t>
      </w:r>
      <w:r>
        <w:t xml:space="preserve"> </w:t>
      </w:r>
      <w:r>
        <w:rPr>
          <w:iCs/>
          <w:i/>
        </w:rPr>
        <w:t xml:space="preserve">“</w:t>
      </w:r>
      <w:r>
        <w:rPr>
          <w:iCs/>
          <w:i/>
        </w:rPr>
        <w:t xml:space="preserve">Jag tror att vi är klara här.</w:t>
      </w:r>
      <w:r>
        <w:rPr>
          <w:iCs/>
          <w:i/>
        </w:rPr>
        <w:t xml:space="preserve">”</w:t>
      </w:r>
      <w:r>
        <w:rPr>
          <w:iCs/>
          <w:i/>
        </w:rPr>
        <w:t xml:space="preserve"> </w:t>
      </w:r>
      <w:r>
        <w:rPr>
          <w:iCs/>
          <w:i/>
        </w:rPr>
        <w:t xml:space="preserve">[Intervjuaren rör sig inte.]</w:t>
      </w:r>
      <w:r>
        <w:rPr>
          <w:iCs/>
          <w:i/>
        </w:rPr>
        <w:t xml:space="preserve"> </w:t>
      </w:r>
      <w:r>
        <w:rPr>
          <w:iCs/>
          <w:i/>
        </w:rPr>
        <w:t xml:space="preserve">“</w:t>
      </w:r>
      <w:r>
        <w:rPr>
          <w:iCs/>
          <w:i/>
        </w:rPr>
        <w:t xml:space="preserve">Såvida du inte vill berätta för mig vem du egentligen arbetar för.</w:t>
      </w:r>
      <w:r>
        <w:rPr>
          <w:iCs/>
          <w:i/>
        </w:rPr>
        <w:t xml:space="preserve">”</w:t>
      </w:r>
    </w:p>
    <w:bookmarkEnd w:id="59"/>
    <w:bookmarkStart w:id="60" w:name="vad-publiken-lär-sig-5"/>
    <w:p>
      <w:pPr>
        <w:pStyle w:val="Heading3"/>
      </w:pPr>
      <w:r>
        <w:t xml:space="preserve">Vad publiken lär sig</w:t>
      </w:r>
    </w:p>
    <w:p>
      <w:pPr>
        <w:pStyle w:val="FirstParagraph"/>
      </w:pPr>
      <w:r>
        <w:t xml:space="preserve">Vad</w:t>
      </w:r>
      <w:r>
        <w:t xml:space="preserve"> </w:t>
      </w:r>
      <w:r>
        <w:t xml:space="preserve">“</w:t>
      </w:r>
      <w:r>
        <w:t xml:space="preserve">frivillig försäljning under tvång</w:t>
      </w:r>
      <w:r>
        <w:t xml:space="preserve">”</w:t>
      </w:r>
      <w:r>
        <w:t xml:space="preserve"> </w:t>
      </w:r>
      <w:r>
        <w:t xml:space="preserve">innebär och varför det är den svåraste kategorin av restitutionsanspråk. Portugals krigstida neutralitet och vad det innebar för judiska flyktingar och deras tillgångar. Washington-principernas specifika blinda fläckar kring försäljningar som är juridiskt rena men moraliskt illegitima.</w:t>
      </w:r>
    </w:p>
    <w:bookmarkEnd w:id="60"/>
    <w:bookmarkEnd w:id="61"/>
    <w:bookmarkEnd w:id="6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2026-06-29T21:01:37Z</dcterms:created>
  <dcterms:modified xsi:type="dcterms:W3CDTF">2026-06-29T21:01:37Z</dcterms:modified>
</cp:coreProperties>
</file>

<file path=docProps/custom.xml><?xml version="1.0" encoding="utf-8"?>
<Properties xmlns="http://schemas.openxmlformats.org/officeDocument/2006/custom-properties" xmlns:vt="http://schemas.openxmlformats.org/officeDocument/2006/docPropsVTypes"/>
</file>