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amp-deck-assessment-against-a-lace"/>
    <w:p>
      <w:pPr>
        <w:pStyle w:val="Heading1"/>
      </w:pPr>
      <w:r>
        <w:t xml:space="preserve">FAMP deck: assessment against a LACE</w:t>
      </w:r>
    </w:p>
    <w:p>
      <w:pPr>
        <w:pStyle w:val="FirstParagraph"/>
      </w:pPr>
      <w:r>
        <w:t xml:space="preserve">Date: 2026-09-30</w:t>
      </w:r>
    </w:p>
    <w:bookmarkStart w:id="20" w:name="summary"/>
    <w:p>
      <w:pPr>
        <w:pStyle w:val="Heading2"/>
      </w:pPr>
      <w:r>
        <w:t xml:space="preserve">Summary</w:t>
      </w:r>
    </w:p>
    <w:p>
      <w:pPr>
        <w:pStyle w:val="FirstParagraph"/>
      </w:pPr>
      <w:r>
        <w:t xml:space="preserve">The deck defines what FAMP delivers (services, outputs, roles) more fully than it defines how FAMP drives the change. Read as a service catalogue for Flow Agile, it holds up. Read as the engine of a transformation, several parts are missing: ownership, outcomes, a backlog and cadence of its own, and a Solution-level design. The assessment is framework-agnostic. It uses a classic LACE as one reference and a product operating model as another.</w:t>
      </w:r>
    </w:p>
    <w:bookmarkEnd w:id="20"/>
    <w:bookmarkStart w:id="21" w:name="strengths"/>
    <w:p>
      <w:pPr>
        <w:pStyle w:val="Heading2"/>
      </w:pPr>
      <w:r>
        <w:t xml:space="preserve">Strengths</w:t>
      </w:r>
    </w:p>
    <w:p>
      <w:pPr>
        <w:pStyle w:val="FirstParagraph"/>
      </w:pPr>
      <w:r>
        <w:t xml:space="preserve">The deck has a coherent service model, a clear coach role, and links to existing structures.</w:t>
      </w:r>
    </w:p>
    <w:p>
      <w:pPr>
        <w:numPr>
          <w:ilvl w:val="0"/>
          <w:numId w:val="1001"/>
        </w:numPr>
        <w:pStyle w:val="Compact"/>
      </w:pPr>
      <w:r>
        <w:rPr>
          <w:bCs/>
          <w:b/>
        </w:rPr>
        <w:t xml:space="preserve">Clear four-service structure</w:t>
      </w:r>
      <w:r>
        <w:t xml:space="preserve"> </w:t>
      </w:r>
      <w:r>
        <w:t xml:space="preserve">(slides 6, 10): playbooks, execution support, coaching and capability, continuous improvement. Each has a why and a what. This covers the training, coaching and method-maintenance functions of a classic LACE, and the tooling, process and enablement functions of a product operations team.</w:t>
      </w:r>
    </w:p>
    <w:p>
      <w:pPr>
        <w:numPr>
          <w:ilvl w:val="0"/>
          <w:numId w:val="1001"/>
        </w:numPr>
        <w:pStyle w:val="Compact"/>
      </w:pPr>
      <w:r>
        <w:rPr>
          <w:bCs/>
          <w:b/>
        </w:rPr>
        <w:t xml:space="preserve">Permanent function.</w:t>
      </w:r>
      <w:r>
        <w:t xml:space="preserve"> </w:t>
      </w:r>
      <w:r>
        <w:t xml:space="preserve">FAMP is positioned as serving "during and after" the transformation, which avoids a LACE that dissolves once the rollout ends.</w:t>
      </w:r>
    </w:p>
    <w:p>
      <w:pPr>
        <w:numPr>
          <w:ilvl w:val="0"/>
          <w:numId w:val="1001"/>
        </w:numPr>
        <w:pStyle w:val="Compact"/>
      </w:pPr>
      <w:r>
        <w:rPr>
          <w:bCs/>
          <w:b/>
        </w:rPr>
        <w:t xml:space="preserve">Coach role separated from decision authority</w:t>
      </w:r>
      <w:r>
        <w:t xml:space="preserve"> </w:t>
      </w:r>
      <w:r>
        <w:t xml:space="preserve">(slide 15). At each event the coach observes and coaches "without influencing decisions". This keeps coaches from becoming de facto managers and suits a mixed team of internal and external coaches.</w:t>
      </w:r>
    </w:p>
    <w:p>
      <w:pPr>
        <w:numPr>
          <w:ilvl w:val="0"/>
          <w:numId w:val="1001"/>
        </w:numPr>
        <w:pStyle w:val="Compact"/>
      </w:pPr>
      <w:r>
        <w:rPr>
          <w:bCs/>
          <w:b/>
        </w:rPr>
        <w:t xml:space="preserve">Bounded mandate for method changes</w:t>
      </w:r>
      <w:r>
        <w:t xml:space="preserve"> </w:t>
      </w:r>
      <w:r>
        <w:t xml:space="preserve">(slide 3). FAMP can update playbooks from retrospectives and execution feedback, and R&amp;D LT approves the changes. That is a lightweight feedback loop with a named approver.</w:t>
      </w:r>
    </w:p>
    <w:p>
      <w:pPr>
        <w:numPr>
          <w:ilvl w:val="0"/>
          <w:numId w:val="1001"/>
        </w:numPr>
        <w:pStyle w:val="Compact"/>
      </w:pPr>
      <w:r>
        <w:rPr>
          <w:bCs/>
          <w:b/>
        </w:rPr>
        <w:t xml:space="preserve">Wave-based scaling</w:t>
      </w:r>
      <w:r>
        <w:t xml:space="preserve"> </w:t>
      </w:r>
      <w:r>
        <w:t xml:space="preserve">(slides 11-12 and notes): ART readiness assessments, continuous upskilling of coaches, and a pilot (Blades, EnVentus) to learn from.</w:t>
      </w:r>
    </w:p>
    <w:p>
      <w:pPr>
        <w:numPr>
          <w:ilvl w:val="0"/>
          <w:numId w:val="1001"/>
        </w:numPr>
        <w:pStyle w:val="Compact"/>
      </w:pPr>
      <w:r>
        <w:rPr>
          <w:bCs/>
          <w:b/>
        </w:rPr>
        <w:t xml:space="preserve">Links to existing structures.</w:t>
      </w:r>
      <w:r>
        <w:t xml:space="preserve"> </w:t>
      </w:r>
      <w:r>
        <w:t xml:space="preserve">FAMP sits next to the TEI PMO and Portfolio Management (slide 4), has a route into the BI roadmap, and is tied to the ASCEND capability framework (slide 9). This avoids a parallel, disconnected agile organisation.</w:t>
      </w:r>
    </w:p>
    <w:p>
      <w:pPr>
        <w:numPr>
          <w:ilvl w:val="0"/>
          <w:numId w:val="1001"/>
        </w:numPr>
        <w:pStyle w:val="Compact"/>
      </w:pPr>
      <w:r>
        <w:rPr>
          <w:bCs/>
          <w:b/>
        </w:rPr>
        <w:t xml:space="preserve">Concrete capacity and timeline:</w:t>
      </w:r>
      <w:r>
        <w:t xml:space="preserve"> </w:t>
      </w:r>
      <w:r>
        <w:t xml:space="preserve">2 + 2 + 4 FTE and a month-by-month plan for May-Sep.</w:t>
      </w:r>
    </w:p>
    <w:bookmarkEnd w:id="21"/>
    <w:bookmarkStart w:id="22" w:name="weaknesses"/>
    <w:p>
      <w:pPr>
        <w:pStyle w:val="Heading2"/>
      </w:pPr>
      <w:r>
        <w:t xml:space="preserve">Weaknesses</w:t>
      </w:r>
    </w:p>
    <w:p>
      <w:pPr>
        <w:pStyle w:val="FirstParagraph"/>
      </w:pPr>
      <w:r>
        <w:t xml:space="preserve">The main weaknesses are the absence of a transformation owner, of outcome measures, and of a FAMP backlog, plus a Solution-level dependency.</w:t>
      </w:r>
    </w:p>
    <w:p>
      <w:pPr>
        <w:numPr>
          <w:ilvl w:val="0"/>
          <w:numId w:val="1002"/>
        </w:numPr>
        <w:pStyle w:val="Compact"/>
      </w:pPr>
      <w:r>
        <w:rPr>
          <w:bCs/>
          <w:b/>
        </w:rPr>
        <w:t xml:space="preserve">No owner of the transformation itself.</w:t>
      </w:r>
      <w:r>
        <w:t xml:space="preserve"> </w:t>
      </w:r>
      <w:r>
        <w:t xml:space="preserve">FAMP "supports", "provides" and "enables". The deck does not say who owns the vision, the outcomes, or decisions on governance and funding. The only executive role shown is R&amp;D LT approving method updates. There is no named sponsor, steering forum or leadership-facing stream. "Coherence ways of working (Transformation)" is one of five coach responsibilities (slide 14), which places transformation work at coach level, not at organisational level.</w:t>
      </w:r>
    </w:p>
    <w:p>
      <w:pPr>
        <w:numPr>
          <w:ilvl w:val="0"/>
          <w:numId w:val="1002"/>
        </w:numPr>
        <w:pStyle w:val="Compact"/>
      </w:pPr>
      <w:r>
        <w:rPr>
          <w:bCs/>
          <w:b/>
        </w:rPr>
        <w:t xml:space="preserve">No outcomes, baseline or evidence.</w:t>
      </w:r>
      <w:r>
        <w:t xml:space="preserve"> </w:t>
      </w:r>
      <w:r>
        <w:t xml:space="preserve">Maturity assessments and "Flow Agile metrics" are listed as activities, and the metrics slot is still "..." (slide 9). Assessment methods are only defined in Jun-Aug. "Evidence-based governance" is an objective, but the deck does not say what evidence, against which baseline, or who decides. Maturity scores risk becoming the goal.</w:t>
      </w:r>
    </w:p>
    <w:p>
      <w:pPr>
        <w:numPr>
          <w:ilvl w:val="0"/>
          <w:numId w:val="1002"/>
        </w:numPr>
        <w:pStyle w:val="Compact"/>
      </w:pPr>
      <w:r>
        <w:rPr>
          <w:bCs/>
          <w:b/>
        </w:rPr>
        <w:t xml:space="preserve">No FAMP backlog or cadence of its own.</w:t>
      </w:r>
      <w:r>
        <w:t xml:space="preserve"> </w:t>
      </w:r>
      <w:r>
        <w:t xml:space="preserve">The plan is a list of activities per month, without prioritisation or outcomes, and it ends at MVP3+ with "release time sequence TBD". The timeline covers May-Sep and today is 30 Sep, so the next horizon is effectively undefined.</w:t>
      </w:r>
    </w:p>
    <w:p>
      <w:pPr>
        <w:numPr>
          <w:ilvl w:val="0"/>
          <w:numId w:val="1002"/>
        </w:numPr>
        <w:pStyle w:val="Compact"/>
      </w:pPr>
      <w:r>
        <w:rPr>
          <w:bCs/>
          <w:b/>
        </w:rPr>
        <w:t xml:space="preserve">Solution-level coaching presumes structures that do not exist yet.</w:t>
      </w:r>
      <w:r>
        <w:t xml:space="preserve"> </w:t>
      </w:r>
      <w:r>
        <w:t xml:space="preserve">Slide 15 assumes an ART &amp; Solution Sync, a System/Solution Demo, Solution-level flow and a Solution Owner aligning on backlog readiness. None of these has a design yet. The link to the portfolio also runs one way: FAMP feeds FA initiatives into the BI roadmap, and nothing describes how Solution roadmaps connect ARTs to the portfolio.</w:t>
      </w:r>
    </w:p>
    <w:p>
      <w:pPr>
        <w:numPr>
          <w:ilvl w:val="0"/>
          <w:numId w:val="1002"/>
        </w:numPr>
        <w:pStyle w:val="Compact"/>
      </w:pPr>
      <w:r>
        <w:rPr>
          <w:bCs/>
          <w:b/>
        </w:rPr>
        <w:t xml:space="preserve">Coaching capacity and coach model.</w:t>
      </w:r>
      <w:r>
        <w:t xml:space="preserve"> </w:t>
      </w:r>
      <w:r>
        <w:t xml:space="preserve">Only 4 FTE are senior coaches, and Solution STE, RTE and SM coaches are explicitly excluded. Against 22-25 ARTs the load per coach is high, although the wave figures sit on slides marked "OLD VERSION" and are inconsistent, so the real ratio is uncertain. The deck says nothing on onboarding, aligning or contracting external coaches for knowledge transfer, and it describes no pipeline for building internal capability. The coach community is deferred to MVP3+.</w:t>
      </w:r>
    </w:p>
    <w:p>
      <w:pPr>
        <w:numPr>
          <w:ilvl w:val="0"/>
          <w:numId w:val="1002"/>
        </w:numPr>
        <w:pStyle w:val="Compact"/>
      </w:pPr>
      <w:r>
        <w:rPr>
          <w:bCs/>
          <w:b/>
        </w:rPr>
        <w:t xml:space="preserve">Standardisation stance.</w:t>
      </w:r>
      <w:r>
        <w:t xml:space="preserve"> </w:t>
      </w:r>
      <w:r>
        <w:t xml:space="preserve">"Defines cadence, roles, methods and tools" and "consistent and scalable" point to a central standard. A product operating model usually favours a small set of non-negotiables plus guardrails, with teams adapting the rest. The deck does not separate mandatory from recommended, and the playbook version plan (v0.8 -&gt; v1.0 within months) is driven by calendar, not by evidence.</w:t>
      </w:r>
    </w:p>
    <w:p>
      <w:pPr>
        <w:numPr>
          <w:ilvl w:val="0"/>
          <w:numId w:val="1002"/>
        </w:numPr>
        <w:pStyle w:val="Compact"/>
      </w:pPr>
      <w:r>
        <w:rPr>
          <w:bCs/>
          <w:b/>
        </w:rPr>
        <w:t xml:space="preserve">Missing product and value dimension.</w:t>
      </w:r>
      <w:r>
        <w:t xml:space="preserve"> </w:t>
      </w:r>
      <w:r>
        <w:t xml:space="preserve">The deck concentrates on execution mechanics: PI planning, ceremonies, roles. Product strategy, discovery, outcome-based prioritisation and customer or market insight are absent. "Flow-based prioritisation" and "value stream ownership" are listed as capabilities but are still draft.</w:t>
      </w:r>
    </w:p>
    <w:p>
      <w:pPr>
        <w:numPr>
          <w:ilvl w:val="0"/>
          <w:numId w:val="1002"/>
        </w:numPr>
        <w:pStyle w:val="Compact"/>
      </w:pPr>
      <w:r>
        <w:rPr>
          <w:bCs/>
          <w:b/>
        </w:rPr>
        <w:t xml:space="preserve">Interface with the stage-gate legacy.</w:t>
      </w:r>
      <w:r>
        <w:t xml:space="preserve"> </w:t>
      </w:r>
      <w:r>
        <w:t xml:space="preserve">The deck starts from a move away from stage-gate and waterfall, but does not say how gates, certification and hardware lead times coexist with Solution and ART cadence during the transition. Finance appears only as a playbook item ("FA Project &amp; Finance structure") and as a stakeholder. Funding and budgeting models are not addressed.</w:t>
      </w:r>
    </w:p>
    <w:p>
      <w:pPr>
        <w:numPr>
          <w:ilvl w:val="0"/>
          <w:numId w:val="1002"/>
        </w:numPr>
        <w:pStyle w:val="Compact"/>
      </w:pPr>
      <w:r>
        <w:rPr>
          <w:bCs/>
          <w:b/>
        </w:rPr>
        <w:t xml:space="preserve">Unsettled identity.</w:t>
      </w:r>
      <w:r>
        <w:t xml:space="preserve"> </w:t>
      </w:r>
      <w:r>
        <w:t xml:space="preserve">The function is called FAMP, Flow Agile Center of Excellence, Competence Center and FACE. Slide 4 is titled "Scenarios for funding of FAMP positions 2026" but shows an org chart, so the funding scenarios are not visible. "IM" is used without explanation. These are minor points, but they affect how clearly the mandate reads.</w:t>
      </w:r>
    </w:p>
    <w:bookmarkEnd w:id="22"/>
    <w:bookmarkStart w:id="23" w:name="gap-against-a-classic-lace"/>
    <w:p>
      <w:pPr>
        <w:pStyle w:val="Heading2"/>
      </w:pPr>
      <w:r>
        <w:t xml:space="preserve">Gap against a classic LACE</w:t>
      </w:r>
    </w:p>
    <w:p>
      <w:pPr>
        <w:pStyle w:val="FirstParagraph"/>
      </w:pPr>
      <w:r>
        <w:t xml:space="preserve">Of thirteen classic LACE functions, two are present in the deck, four are partial, one is late and six are missing.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Classic LACE function</w:t>
            </w:r>
          </w:p>
        </w:tc>
        <w:tc>
          <w:tcPr/>
          <w:p>
            <w:pPr>
              <w:pStyle w:val="Compact"/>
              <w:jc w:val="left"/>
            </w:pPr>
            <w:r>
              <w:t xml:space="preserve">In the deck?</w:t>
            </w:r>
          </w:p>
        </w:tc>
        <w:tc>
          <w:tcPr/>
          <w:p>
            <w:pPr>
              <w:pStyle w:val="Compact"/>
              <w:jc w:val="left"/>
            </w:pPr>
            <w:r>
              <w:t xml:space="preserve">Comment</w:t>
            </w:r>
          </w:p>
        </w:tc>
      </w:tr>
      <w:tr>
        <w:tc>
          <w:tcPr/>
          <w:p>
            <w:pPr>
              <w:pStyle w:val="Compact"/>
              <w:jc w:val="left"/>
            </w:pPr>
            <w:r>
              <w:t xml:space="preserve">Executive sponsor and guiding coalition</w:t>
            </w:r>
          </w:p>
        </w:tc>
        <w:tc>
          <w:tcPr/>
          <w:p>
            <w:pPr>
              <w:pStyle w:val="Compact"/>
              <w:jc w:val="left"/>
            </w:pPr>
            <w:r>
              <w:t xml:space="preserve">Missing</w:t>
            </w:r>
          </w:p>
        </w:tc>
        <w:tc>
          <w:tcPr/>
          <w:p>
            <w:pPr>
              <w:pStyle w:val="Compact"/>
              <w:jc w:val="left"/>
            </w:pPr>
            <w:r>
              <w:t xml:space="preserve">R&amp;D LT appears only as approver of method changes</w:t>
            </w:r>
          </w:p>
        </w:tc>
      </w:tr>
      <w:tr>
        <w:tc>
          <w:tcPr/>
          <w:p>
            <w:pPr>
              <w:pStyle w:val="Compact"/>
              <w:jc w:val="left"/>
            </w:pPr>
            <w:r>
              <w:t xml:space="preserve">Vision, case for change, target outcomes</w:t>
            </w:r>
          </w:p>
        </w:tc>
        <w:tc>
          <w:tcPr/>
          <w:p>
            <w:pPr>
              <w:pStyle w:val="Compact"/>
              <w:jc w:val="left"/>
            </w:pPr>
            <w:r>
              <w:t xml:space="preserve">Missing</w:t>
            </w:r>
          </w:p>
        </w:tc>
        <w:tc>
          <w:tcPr/>
          <w:p>
            <w:pPr>
              <w:pStyle w:val="Compact"/>
              <w:jc w:val="left"/>
            </w:pPr>
            <w:r>
              <w:t xml:space="preserve">Purpose is stated, outcomes are not</w:t>
            </w:r>
          </w:p>
        </w:tc>
      </w:tr>
      <w:tr>
        <w:tc>
          <w:tcPr/>
          <w:p>
            <w:pPr>
              <w:pStyle w:val="Compact"/>
              <w:jc w:val="left"/>
            </w:pPr>
            <w:r>
              <w:t xml:space="preserve">Transformation roadmap and backlog</w:t>
            </w:r>
          </w:p>
        </w:tc>
        <w:tc>
          <w:tcPr/>
          <w:p>
            <w:pPr>
              <w:pStyle w:val="Compact"/>
              <w:jc w:val="left"/>
            </w:pPr>
            <w:r>
              <w:t xml:space="preserve">Partial</w:t>
            </w:r>
          </w:p>
        </w:tc>
        <w:tc>
          <w:tcPr/>
          <w:p>
            <w:pPr>
              <w:pStyle w:val="Compact"/>
              <w:jc w:val="left"/>
            </w:pPr>
            <w:r>
              <w:t xml:space="preserve">Activity timeline exists, no backlog or prioritisation, horizon has run out</w:t>
            </w:r>
          </w:p>
        </w:tc>
      </w:tr>
      <w:tr>
        <w:tc>
          <w:tcPr/>
          <w:p>
            <w:pPr>
              <w:pStyle w:val="Compact"/>
              <w:jc w:val="left"/>
            </w:pPr>
            <w:r>
              <w:t xml:space="preserve">Measurement with baseline</w:t>
            </w:r>
          </w:p>
        </w:tc>
        <w:tc>
          <w:tcPr/>
          <w:p>
            <w:pPr>
              <w:pStyle w:val="Compact"/>
              <w:jc w:val="left"/>
            </w:pPr>
            <w:r>
              <w:t xml:space="preserve">Partial</w:t>
            </w:r>
          </w:p>
        </w:tc>
        <w:tc>
          <w:tcPr/>
          <w:p>
            <w:pPr>
              <w:pStyle w:val="Compact"/>
              <w:jc w:val="left"/>
            </w:pPr>
            <w:r>
              <w:t xml:space="preserve">Maturity assessment planned, metrics undefined</w:t>
            </w:r>
          </w:p>
        </w:tc>
      </w:tr>
      <w:tr>
        <w:tc>
          <w:tcPr/>
          <w:p>
            <w:pPr>
              <w:pStyle w:val="Compact"/>
              <w:jc w:val="left"/>
            </w:pPr>
            <w:r>
              <w:t xml:space="preserve">Training and coaching</w:t>
            </w:r>
          </w:p>
        </w:tc>
        <w:tc>
          <w:tcPr/>
          <w:p>
            <w:pPr>
              <w:pStyle w:val="Compact"/>
              <w:jc w:val="left"/>
            </w:pPr>
            <w:r>
              <w:t xml:space="preserve">Present</w:t>
            </w:r>
          </w:p>
        </w:tc>
        <w:tc>
          <w:tcPr/>
          <w:p>
            <w:pPr>
              <w:pStyle w:val="Compact"/>
              <w:jc w:val="left"/>
            </w:pPr>
            <w:r>
              <w:t xml:space="preserve">Curriculum and vendors planned, no role-based paths for leaders</w:t>
            </w:r>
          </w:p>
        </w:tc>
      </w:tr>
      <w:tr>
        <w:tc>
          <w:tcPr/>
          <w:p>
            <w:pPr>
              <w:pStyle w:val="Compact"/>
              <w:jc w:val="left"/>
            </w:pPr>
            <w:r>
              <w:t xml:space="preserve">Playbooks and tooling</w:t>
            </w:r>
          </w:p>
        </w:tc>
        <w:tc>
          <w:tcPr/>
          <w:p>
            <w:pPr>
              <w:pStyle w:val="Compact"/>
              <w:jc w:val="left"/>
            </w:pPr>
            <w:r>
              <w:t xml:space="preserve">Present</w:t>
            </w:r>
          </w:p>
        </w:tc>
        <w:tc>
          <w:tcPr/>
          <w:p>
            <w:pPr>
              <w:pStyle w:val="Compact"/>
              <w:jc w:val="left"/>
            </w:pPr>
            <w:r>
              <w:t xml:space="preserve">Largest stream</w:t>
            </w:r>
          </w:p>
        </w:tc>
      </w:tr>
      <w:tr>
        <w:tc>
          <w:tcPr/>
          <w:p>
            <w:pPr>
              <w:pStyle w:val="Compact"/>
              <w:jc w:val="left"/>
            </w:pPr>
            <w:r>
              <w:t xml:space="preserve">Community of practice / change agent network</w:t>
            </w:r>
          </w:p>
        </w:tc>
        <w:tc>
          <w:tcPr/>
          <w:p>
            <w:pPr>
              <w:pStyle w:val="Compact"/>
              <w:jc w:val="left"/>
            </w:pPr>
            <w:r>
              <w:t xml:space="preserve">Late</w:t>
            </w:r>
          </w:p>
        </w:tc>
        <w:tc>
          <w:tcPr/>
          <w:p>
            <w:pPr>
              <w:pStyle w:val="Compact"/>
              <w:jc w:val="left"/>
            </w:pPr>
            <w:r>
              <w:t xml:space="preserve">Deferred to MVP3+</w:t>
            </w:r>
          </w:p>
        </w:tc>
      </w:tr>
      <w:tr>
        <w:tc>
          <w:tcPr/>
          <w:p>
            <w:pPr>
              <w:pStyle w:val="Compact"/>
              <w:jc w:val="left"/>
            </w:pPr>
            <w:r>
              <w:t xml:space="preserve">ART/Solution launch readiness</w:t>
            </w:r>
          </w:p>
        </w:tc>
        <w:tc>
          <w:tcPr/>
          <w:p>
            <w:pPr>
              <w:pStyle w:val="Compact"/>
              <w:jc w:val="left"/>
            </w:pPr>
            <w:r>
              <w:t xml:space="preserve">Partial</w:t>
            </w:r>
          </w:p>
        </w:tc>
        <w:tc>
          <w:tcPr/>
          <w:p>
            <w:pPr>
              <w:pStyle w:val="Compact"/>
              <w:jc w:val="left"/>
            </w:pPr>
            <w:r>
              <w:t xml:space="preserve">Mentioned in notes, no criteria in the deck</w:t>
            </w:r>
          </w:p>
        </w:tc>
      </w:tr>
      <w:tr>
        <w:tc>
          <w:tcPr/>
          <w:p>
            <w:pPr>
              <w:pStyle w:val="Compact"/>
              <w:jc w:val="left"/>
            </w:pPr>
            <w:r>
              <w:t xml:space="preserve">Leadership coaching</w:t>
            </w:r>
          </w:p>
        </w:tc>
        <w:tc>
          <w:tcPr/>
          <w:p>
            <w:pPr>
              <w:pStyle w:val="Compact"/>
              <w:jc w:val="left"/>
            </w:pPr>
            <w:r>
              <w:t xml:space="preserve">Missing</w:t>
            </w:r>
          </w:p>
        </w:tc>
        <w:tc>
          <w:tcPr/>
          <w:p>
            <w:pPr>
              <w:pStyle w:val="Compact"/>
            </w:pPr>
          </w:p>
        </w:tc>
      </w:tr>
      <w:tr>
        <w:tc>
          <w:tcPr/>
          <w:p>
            <w:pPr>
              <w:pStyle w:val="Compact"/>
              <w:jc w:val="left"/>
            </w:pPr>
            <w:r>
              <w:t xml:space="preserve">Organisational impediment removal</w:t>
            </w:r>
          </w:p>
        </w:tc>
        <w:tc>
          <w:tcPr/>
          <w:p>
            <w:pPr>
              <w:pStyle w:val="Compact"/>
              <w:jc w:val="left"/>
            </w:pPr>
            <w:r>
              <w:t xml:space="preserve">Partial</w:t>
            </w:r>
          </w:p>
        </w:tc>
        <w:tc>
          <w:tcPr/>
          <w:p>
            <w:pPr>
              <w:pStyle w:val="Compact"/>
              <w:jc w:val="left"/>
            </w:pPr>
            <w:r>
              <w:t xml:space="preserve">"Escalation" named at Solution sync, no route or forum</w:t>
            </w:r>
          </w:p>
        </w:tc>
      </w:tr>
      <w:tr>
        <w:tc>
          <w:tcPr/>
          <w:p>
            <w:pPr>
              <w:pStyle w:val="Compact"/>
              <w:jc w:val="left"/>
            </w:pPr>
            <w:r>
              <w:t xml:space="preserve">Governance and funding evolution</w:t>
            </w:r>
          </w:p>
        </w:tc>
        <w:tc>
          <w:tcPr/>
          <w:p>
            <w:pPr>
              <w:pStyle w:val="Compact"/>
              <w:jc w:val="left"/>
            </w:pPr>
            <w:r>
              <w:t xml:space="preserve">Missing</w:t>
            </w:r>
          </w:p>
        </w:tc>
        <w:tc>
          <w:tcPr/>
          <w:p>
            <w:pPr>
              <w:pStyle w:val="Compact"/>
              <w:jc w:val="left"/>
            </w:pPr>
            <w:r>
              <w:t xml:space="preserve">Finance and P&amp;C are stakeholders only</w:t>
            </w:r>
          </w:p>
        </w:tc>
      </w:tr>
      <w:tr>
        <w:tc>
          <w:tcPr/>
          <w:p>
            <w:pPr>
              <w:pStyle w:val="Compact"/>
              <w:jc w:val="left"/>
            </w:pPr>
            <w:r>
              <w:t xml:space="preserve">Communication plan</w:t>
            </w:r>
          </w:p>
        </w:tc>
        <w:tc>
          <w:tcPr/>
          <w:p>
            <w:pPr>
              <w:pStyle w:val="Compact"/>
              <w:jc w:val="left"/>
            </w:pPr>
            <w:r>
              <w:t xml:space="preserve">Missing</w:t>
            </w:r>
          </w:p>
        </w:tc>
        <w:tc>
          <w:tcPr/>
          <w:p>
            <w:pPr>
              <w:pStyle w:val="Compact"/>
              <w:jc w:val="left"/>
            </w:pPr>
            <w:r>
              <w:t xml:space="preserve">Only the R&amp;D townhall is referenced</w:t>
            </w:r>
          </w:p>
        </w:tc>
      </w:tr>
      <w:tr>
        <w:tc>
          <w:tcPr/>
          <w:p>
            <w:pPr>
              <w:pStyle w:val="Compact"/>
              <w:jc w:val="left"/>
            </w:pPr>
            <w:r>
              <w:t xml:space="preserve">Handover of external coaching</w:t>
            </w:r>
          </w:p>
        </w:tc>
        <w:tc>
          <w:tcPr/>
          <w:p>
            <w:pPr>
              <w:pStyle w:val="Compact"/>
              <w:jc w:val="left"/>
            </w:pPr>
            <w:r>
              <w:t xml:space="preserve">Missing</w:t>
            </w:r>
          </w:p>
        </w:tc>
        <w:tc>
          <w:tcPr/>
          <w:p>
            <w:pPr>
              <w:pStyle w:val="Compact"/>
            </w:pPr>
          </w:p>
        </w:tc>
      </w:tr>
    </w:tbl>
    <w:p>
      <w:pPr>
        <w:pStyle w:val="BodyText"/>
      </w:pPr>
      <w:r>
        <w:rPr>
          <w:bCs/>
          <w:b/>
        </w:rPr>
        <w:t xml:space="preserve">Product operating model view.</w:t>
      </w:r>
      <w:r>
        <w:t xml:space="preserve"> </w:t>
      </w:r>
      <w:r>
        <w:t xml:space="preserve">FAMP covers tooling, process and coaching. It does not yet cover the operating cadence that connects strategy, portfolio, Solution and teams, or the insight and metrics that feed it. That cadence is the same gap as the missing Solution roadmap, backlog and sync.</w:t>
      </w:r>
    </w:p>
    <w:bookmarkEnd w:id="23"/>
    <w:bookmarkStart w:id="24" w:name="X8aa2f673606776355e790cce1fc6fac6c63088e"/>
    <w:p>
      <w:pPr>
        <w:pStyle w:val="Heading2"/>
      </w:pPr>
      <w:r>
        <w:t xml:space="preserve">Suggested next steps (about 90 days, in order)</w:t>
      </w:r>
    </w:p>
    <w:p>
      <w:pPr>
        <w:pStyle w:val="FirstParagraph"/>
      </w:pPr>
      <w:r>
        <w:t xml:space="preserve">The order starts with ownership and measurement, because the later steps depend on them.</w:t>
      </w:r>
    </w:p>
    <w:p>
      <w:pPr>
        <w:numPr>
          <w:ilvl w:val="0"/>
          <w:numId w:val="1003"/>
        </w:numPr>
        <w:pStyle w:val="Compact"/>
      </w:pPr>
      <w:r>
        <w:rPr>
          <w:bCs/>
          <w:b/>
        </w:rPr>
        <w:t xml:space="preserve">Settle ownership and sponsorship.</w:t>
      </w:r>
      <w:r>
        <w:t xml:space="preserve"> </w:t>
      </w:r>
      <w:r>
        <w:t xml:space="preserve">Name a transformation owner and an R&amp;D LT sponsor. Set up a short, regular steering forum that also handles escalated impediments. Fix the name and mandate (FAMP vs CoE vs FACE).</w:t>
      </w:r>
    </w:p>
    <w:p>
      <w:pPr>
        <w:numPr>
          <w:ilvl w:val="0"/>
          <w:numId w:val="1003"/>
        </w:numPr>
        <w:pStyle w:val="Compact"/>
      </w:pPr>
      <w:r>
        <w:rPr>
          <w:bCs/>
          <w:b/>
        </w:rPr>
        <w:t xml:space="preserve">Define 4-6 outcome measures and a baseline</w:t>
      </w:r>
      <w:r>
        <w:t xml:space="preserve"> </w:t>
      </w:r>
      <w:r>
        <w:t xml:space="preserve">before more ARTs launch. Use the pilot ART as the baseline, and run a structured retrospective on it to feed the playbook.</w:t>
      </w:r>
    </w:p>
    <w:p>
      <w:pPr>
        <w:numPr>
          <w:ilvl w:val="0"/>
          <w:numId w:val="1003"/>
        </w:numPr>
        <w:pStyle w:val="Compact"/>
      </w:pPr>
      <w:r>
        <w:rPr>
          <w:bCs/>
          <w:b/>
        </w:rPr>
        <w:t xml:space="preserve">Create FAMP's own backlog and cadence.</w:t>
      </w:r>
      <w:r>
        <w:t xml:space="preserve"> </w:t>
      </w:r>
      <w:r>
        <w:t xml:space="preserve">Feed it from coach observations, ART retrospectives and LT requests, and review it monthly with the steering forum. Replace the expired May-Sep timeline with a rolling 90-day view.</w:t>
      </w:r>
    </w:p>
    <w:p>
      <w:pPr>
        <w:numPr>
          <w:ilvl w:val="0"/>
          <w:numId w:val="1003"/>
        </w:numPr>
        <w:pStyle w:val="Compact"/>
      </w:pPr>
      <w:r>
        <w:rPr>
          <w:bCs/>
          <w:b/>
        </w:rPr>
        <w:t xml:space="preserve">Design the Solution level with one or two Solutions, time-boxed.</w:t>
      </w:r>
      <w:r>
        <w:t xml:space="preserve"> </w:t>
      </w:r>
      <w:r>
        <w:t xml:space="preserve">Co-design a minimal Solution backlog, roadmap, sync cadence and decision rights for the Solution Owner, STE and capability owners. Define the connection to the BI portfolio and to the remaining stage-gate milestones. Add the result to the playbook after two cycles. Until then, coach the Solution roles on these design questions rather than on events that do not yet exist.</w:t>
      </w:r>
    </w:p>
    <w:p>
      <w:pPr>
        <w:numPr>
          <w:ilvl w:val="0"/>
          <w:numId w:val="1003"/>
        </w:numPr>
        <w:pStyle w:val="Compact"/>
      </w:pPr>
      <w:r>
        <w:rPr>
          <w:bCs/>
          <w:b/>
        </w:rPr>
        <w:t xml:space="preserve">Define the coach operating model.</w:t>
      </w:r>
      <w:r>
        <w:t xml:space="preserve"> </w:t>
      </w:r>
      <w:r>
        <w:t xml:space="preserve">Set a coach-to-ART allocation and a coaching lifecycle (readiness, launch, stabilise, hand off). Give internal and external coaches one onboarding path, a shared observation log and a weekly coach sync. Start the coach community now, since the coaches are the sensors that feed the FAMP backlog. Write knowledge-transfer and internalisation terms into the external coach contracts, and check the wave plan against capacity with current figures.</w:t>
      </w:r>
    </w:p>
    <w:p>
      <w:pPr>
        <w:numPr>
          <w:ilvl w:val="0"/>
          <w:numId w:val="1003"/>
        </w:numPr>
        <w:pStyle w:val="Compact"/>
      </w:pPr>
      <w:r>
        <w:rPr>
          <w:bCs/>
          <w:b/>
        </w:rPr>
        <w:t xml:space="preserve">Add a leadership track</w:t>
      </w:r>
      <w:r>
        <w:t xml:space="preserve"> </w:t>
      </w:r>
      <w:r>
        <w:t xml:space="preserve">for R&amp;D LT, portfolio and capability owners. Cover changed decision rights, their role in planning and Solution syncs, and the funding and stage-gate questions with Finance and P&amp;C.</w:t>
      </w:r>
    </w:p>
    <w:p>
      <w:pPr>
        <w:numPr>
          <w:ilvl w:val="0"/>
          <w:numId w:val="1003"/>
        </w:numPr>
        <w:pStyle w:val="Compact"/>
      </w:pPr>
      <w:r>
        <w:rPr>
          <w:bCs/>
          <w:b/>
        </w:rPr>
        <w:t xml:space="preserve">Split the playbook into mandatory and recommended parts</w:t>
      </w:r>
      <w:r>
        <w:t xml:space="preserve">, and change it on evidence rather than on a version calendar.</w:t>
      </w:r>
    </w:p>
    <w:bookmarkEnd w:id="24"/>
    <w:bookmarkStart w:id="25" w:name="scope-and-limits"/>
    <w:p>
      <w:pPr>
        <w:pStyle w:val="Heading2"/>
      </w:pPr>
      <w:r>
        <w:t xml:space="preserve">Scope and limits</w:t>
      </w:r>
    </w:p>
    <w:p>
      <w:pPr>
        <w:pStyle w:val="FirstParagraph"/>
      </w:pPr>
      <w:r>
        <w:t xml:space="preserve">This assessment is based only on the deck (FAMP Purpose and Objective incl. timeline, 15 slides). The org-chart slide is an image, the funding scenarios are not visible, slide 16 is empty, and the wave slides are marked as an old version. The coach-to-ART load is therefore an estimate from figures in the deck, not a confirmed ratio.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Helvetica" w:cs="Helvetica" w:eastAsia="Helvetica" w:hAnsi="Helvetic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pPr>
    <w:rPr>
      <w:rFonts w:ascii="Helvetica" w:cs="Helvetica" w:eastAsia="Helvetica" w:hAnsi="Helvetica"/>
      <w:color w:val="1F2328"/>
      <w:sz w:val="24"/>
      <w:szCs w:val="24"/>
    </w:rPr>
  </w:style>
  <w:style w:styleId="BodyText" w:type="paragraph">
    <w:name w:val="Body Text"/>
    <w:basedOn w:val="Normal"/>
    <w:link w:val="BodyTextChar"/>
    <w:qFormat/>
    <w:pPr>
      <w:spacing w:after="240" w:before="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360" w:lineRule="auto"/>
    </w:pPr>
    <w:rPr/>
  </w:style>
  <w:style w:styleId="Title" w:type="paragraph">
    <w:name w:val="Title"/>
    <w:basedOn w:val="Normal"/>
    <w:next w:val="BodyText"/>
    <w:qFormat/>
    <w:pPr>
      <w:keepNext/>
      <w:keepLines/>
      <w:pBdr>
        <w:bottom w:color="D1D9E0" w:space="4" w:sz="6" w:val="single"/>
      </w:pBdr>
      <w:spacing w:after="240" w:before="0" w:line="300" w:lineRule="auto"/>
    </w:pPr>
    <w:rPr>
      <w:rFonts w:ascii="Helvetica" w:cs="Helvetica" w:eastAsia="Helvetica" w:hAnsi="Helvetica"/>
      <w:b/>
      <w:bCs/>
      <w:color w:val="1F2328"/>
      <w:sz w:val="56"/>
      <w:szCs w:val="56"/>
    </w:rPr>
  </w:style>
  <w:style w:styleId="Subtitle" w:type="paragraph">
    <w:name w:val="Subtitle"/>
    <w:basedOn w:val="Normal"/>
    <w:next w:val="BodyText"/>
    <w:qFormat/>
    <w:pPr>
      <w:keepNext/>
      <w:spacing w:after="240"/>
    </w:pPr>
    <w:rPr>
      <w:color w:val="59636E"/>
      <w:sz w:val="30"/>
      <w:szCs w:val="30"/>
    </w:rPr>
  </w:style>
  <w:style w:customStyle="1" w:styleId="Author" w:type="paragraph">
    <w:name w:val="Author"/>
    <w:basedOn w:val="Normal"/>
    <w:qFormat/>
    <w:pPr/>
    <w:rPr>
      <w:color w:val="59636E"/>
    </w:rPr>
  </w:style>
  <w:style w:styleId="Date" w:type="paragraph">
    <w:name w:val="Date"/>
    <w:basedOn w:val="Normal"/>
    <w:next w:val="BodyText"/>
    <w:qFormat/>
    <w:pPr>
      <w:spacing w:after="240"/>
    </w:pPr>
    <w:rPr>
      <w:color w:val="59636E"/>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D1D9E0" w:space="4" w:sz="6" w:val="single"/>
      </w:pBdr>
      <w:spacing w:after="240" w:before="360" w:line="300" w:lineRule="auto"/>
      <w:outlineLvl w:val="0"/>
    </w:pPr>
    <w:rPr>
      <w:rFonts w:ascii="Helvetica" w:cs="Helvetica" w:eastAsia="Helvetica" w:hAnsi="Helvetica"/>
      <w:b/>
      <w:bCs/>
      <w:color w:val="1F2328"/>
      <w:sz w:val="48"/>
      <w:szCs w:val="48"/>
    </w:rPr>
  </w:style>
  <w:style w:styleId="Heading2" w:type="paragraph">
    <w:name w:val="heading 2"/>
    <w:basedOn w:val="Normal"/>
    <w:next w:val="BodyText"/>
    <w:uiPriority w:val="9"/>
    <w:qFormat/>
    <w:pPr>
      <w:keepNext/>
      <w:keepLines/>
      <w:pBdr>
        <w:bottom w:color="D1D9E0" w:space="4" w:sz="6" w:val="single"/>
      </w:pBdr>
      <w:spacing w:after="240" w:before="360" w:line="300" w:lineRule="auto"/>
      <w:outlineLvl w:val="1"/>
    </w:pPr>
    <w:rPr>
      <w:rFonts w:ascii="Helvetica" w:cs="Helvetica" w:eastAsia="Helvetica" w:hAnsi="Helvetica"/>
      <w:b/>
      <w:bCs/>
      <w:color w:val="1F2328"/>
      <w:sz w:val="36"/>
      <w:szCs w:val="36"/>
    </w:rPr>
  </w:style>
  <w:style w:styleId="Heading3" w:type="paragraph">
    <w:name w:val="heading 3"/>
    <w:basedOn w:val="Normal"/>
    <w:next w:val="BodyText"/>
    <w:uiPriority w:val="9"/>
    <w:qFormat/>
    <w:pPr>
      <w:keepNext/>
      <w:keepLines/>
      <w:spacing w:after="240" w:before="360" w:line="300" w:lineRule="auto"/>
      <w:outlineLvl w:val="2"/>
    </w:pPr>
    <w:rPr>
      <w:rFonts w:ascii="Helvetica" w:cs="Helvetica" w:eastAsia="Helvetica" w:hAnsi="Helvetica"/>
      <w:b/>
      <w:bCs/>
      <w:color w:val="1F2328"/>
      <w:sz w:val="30"/>
      <w:szCs w:val="30"/>
    </w:rPr>
  </w:style>
  <w:style w:styleId="Heading4" w:type="paragraph">
    <w:name w:val="heading 4"/>
    <w:basedOn w:val="Normal"/>
    <w:next w:val="BodyText"/>
    <w:uiPriority w:val="9"/>
    <w:qFormat/>
    <w:pPr>
      <w:keepNext/>
      <w:keepLines/>
      <w:spacing w:after="240" w:before="360" w:line="300" w:lineRule="auto"/>
      <w:outlineLvl w:val="3"/>
    </w:pPr>
    <w:rPr>
      <w:rFonts w:ascii="Helvetica" w:cs="Helvetica" w:eastAsia="Helvetica" w:hAnsi="Helvetica"/>
      <w:b/>
      <w:bCs/>
      <w:color w:val="1F2328"/>
      <w:sz w:val="24"/>
      <w:szCs w:val="24"/>
    </w:rPr>
  </w:style>
  <w:style w:styleId="Heading5" w:type="paragraph">
    <w:name w:val="heading 5"/>
    <w:basedOn w:val="Normal"/>
    <w:next w:val="BodyText"/>
    <w:uiPriority w:val="9"/>
    <w:qFormat/>
    <w:pPr>
      <w:keepNext/>
      <w:keepLines/>
      <w:spacing w:after="240" w:before="360" w:line="300" w:lineRule="auto"/>
      <w:outlineLvl w:val="4"/>
    </w:pPr>
    <w:rPr>
      <w:rFonts w:ascii="Helvetica" w:cs="Helvetica" w:eastAsia="Helvetica" w:hAnsi="Helvetica"/>
      <w:b/>
      <w:bCs/>
      <w:color w:val="1F2328"/>
      <w:sz w:val="21"/>
      <w:szCs w:val="21"/>
    </w:rPr>
  </w:style>
  <w:style w:styleId="Heading6" w:type="paragraph">
    <w:name w:val="heading 6"/>
    <w:basedOn w:val="Normal"/>
    <w:next w:val="BodyText"/>
    <w:uiPriority w:val="9"/>
    <w:qFormat/>
    <w:pPr>
      <w:keepNext/>
      <w:keepLines/>
      <w:spacing w:after="240" w:before="360" w:line="300" w:lineRule="auto"/>
      <w:outlineLvl w:val="5"/>
    </w:pPr>
    <w:rPr>
      <w:rFonts w:ascii="Helvetica" w:cs="Helvetica" w:eastAsia="Helvetica" w:hAnsi="Helvetica"/>
      <w:b/>
      <w:bCs/>
      <w:color w:val="59636E"/>
      <w:sz w:val="20"/>
      <w:szCs w:val="20"/>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qFormat/>
    <w:pPr>
      <w:pBdr>
        <w:left w:color="D1D9E0" w:space="12" w:sz="24" w:val="single"/>
      </w:pBdr>
      <w:ind w:left="300" w:right="0"/>
    </w:pPr>
    <w:rPr>
      <w:color w:val="59636E"/>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0" w:before="0" w:line="276" w:lineRule="auto"/>
    </w:pPr>
    <w:tblPr>
      <w:tblInd w:type="dxa" w:w="0"/>
      <w:tblBorders>
        <w:top w:color="D1D9E0" w:space="0" w:sz="4" w:val="single"/>
        <w:left w:color="D1D9E0" w:space="0" w:sz="4" w:val="single"/>
        <w:bottom w:color="D1D9E0" w:space="0" w:sz="4" w:val="single"/>
        <w:right w:color="D1D9E0" w:space="0" w:sz="4" w:val="single"/>
        <w:insideH w:color="D1D9E0" w:space="0" w:sz="4" w:val="single"/>
        <w:insideV w:color="D1D9E0" w:space="0" w:sz="4" w:val="single"/>
      </w:tblBorders>
      <w:tblCellMar>
        <w:top w:type="dxa" w:w="90"/>
        <w:left w:type="dxa" w:w="195"/>
        <w:bottom w:type="dxa" w:w="90"/>
        <w:right w:type="dxa" w:w="195"/>
      </w:tblCellMar>
    </w:tblPr>
    <w:tblStylePr w:type="firstRow">
      <w:rPr>
        <w:b/>
        <w:bCs/>
      </w:rPr>
      <w:tcP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Menlo" w:cs="Menlo" w:eastAsia="Menlo" w:hAnsi="Menlo"/>
      <w:sz w:val="20"/>
      <w:szCs w:val="20"/>
      <w:shd w:color="auto" w:fill="EFF1F3"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969D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color="auto" w:fill="F6F8FA" w:val="clear"/>
      <w:pBdr>
        <w:top w:color="F6F8FA" w:space="6" w:sz="4" w:val="single"/>
        <w:left w:color="F6F8FA" w:space="6" w:sz="4" w:val="single"/>
        <w:bottom w:color="F6F8FA" w:space="6" w:sz="4" w:val="single"/>
        <w:right w:color="F6F8FA" w:space="6" w:sz="4" w:val="single"/>
      </w:pBdr>
      <w:spacing w:after="240" w:before="0" w:line="276" w:lineRule="auto"/>
      <w:ind w:left="120" w:right="120"/>
    </w:pPr>
    <w:rPr>
      <w:rFonts w:ascii="Menlo" w:cs="Menlo" w:eastAsia="Menlo" w:hAnsi="Menlo"/>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2026-09-30T07:19:00Z</dcterms:created>
  <dcterms:modified xsi:type="dcterms:W3CDTF">2026-09-30T07:19:00Z</dcterms:modified>
</cp:coreProperties>
</file>

<file path=docProps/custom.xml><?xml version="1.0" encoding="utf-8"?>
<Properties xmlns="http://schemas.openxmlformats.org/officeDocument/2006/custom-properties" xmlns:vt="http://schemas.openxmlformats.org/officeDocument/2006/docPropsVTypes"/>
</file>