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7519" w14:textId="77777777" w:rsidR="00EA619F" w:rsidRDefault="00EA619F">
      <w:pPr>
        <w:jc w:val="center"/>
        <w:rPr>
          <w:b/>
          <w:color w:val="163557"/>
          <w:sz w:val="44"/>
        </w:rPr>
      </w:pPr>
    </w:p>
    <w:p w14:paraId="170017E7" w14:textId="77777777" w:rsidR="00406EFB" w:rsidRPr="00EA619F" w:rsidRDefault="00D52484">
      <w:pPr>
        <w:jc w:val="center"/>
        <w:rPr>
          <w:lang w:val="nb-NO"/>
        </w:rPr>
      </w:pPr>
      <w:r w:rsidRPr="00EA619F">
        <w:rPr>
          <w:b/>
          <w:color w:val="163557"/>
          <w:sz w:val="44"/>
          <w:lang w:val="nb-NO"/>
        </w:rPr>
        <w:t>Metodikk for CMA‑tallene i figuren</w:t>
      </w:r>
    </w:p>
    <w:p w14:paraId="79A1A7E5" w14:textId="77777777" w:rsidR="00406EFB" w:rsidRPr="00EA619F" w:rsidRDefault="00D52484">
      <w:pPr>
        <w:jc w:val="center"/>
        <w:rPr>
          <w:lang w:val="nb-NO"/>
        </w:rPr>
      </w:pPr>
      <w:r w:rsidRPr="00EA619F">
        <w:rPr>
          <w:i/>
          <w:color w:val="5A5A5A"/>
          <w:sz w:val="22"/>
          <w:lang w:val="nb-NO"/>
        </w:rPr>
        <w:t>Forventet avkastning og standardavvik for globale aktivaklasser, Norden og Norge</w:t>
      </w:r>
    </w:p>
    <w:p w14:paraId="49B2F81F" w14:textId="232DDA23" w:rsidR="00406EFB" w:rsidRDefault="00D52484">
      <w:pPr>
        <w:jc w:val="center"/>
      </w:pPr>
      <w:r>
        <w:rPr>
          <w:color w:val="5A5A5A"/>
          <w:sz w:val="20"/>
        </w:rPr>
        <w:t xml:space="preserve">Dato: </w:t>
      </w:r>
      <w:r w:rsidR="00E0474B">
        <w:rPr>
          <w:color w:val="5A5A5A"/>
          <w:sz w:val="20"/>
        </w:rPr>
        <w:t>14. oktober</w:t>
      </w:r>
      <w:r>
        <w:rPr>
          <w:color w:val="5A5A5A"/>
          <w:sz w:val="20"/>
        </w:rPr>
        <w:t xml:space="preserve"> 2026</w:t>
      </w:r>
    </w:p>
    <w:tbl>
      <w:tblPr>
        <w:tblW w:w="0" w:type="auto"/>
        <w:jc w:val="center"/>
        <w:tblLook w:val="04A0" w:firstRow="1" w:lastRow="0" w:firstColumn="1" w:lastColumn="0" w:noHBand="0" w:noVBand="1"/>
      </w:tblPr>
      <w:tblGrid>
        <w:gridCol w:w="9746"/>
      </w:tblGrid>
      <w:tr w:rsidR="00406EFB" w:rsidRPr="00E0474B" w14:paraId="12667527" w14:textId="77777777">
        <w:trPr>
          <w:jc w:val="center"/>
        </w:trPr>
        <w:tc>
          <w:tcPr>
            <w:tcW w:w="9746" w:type="dxa"/>
            <w:shd w:val="clear" w:color="auto" w:fill="EDF3F8"/>
            <w:tcMar>
              <w:top w:w="90" w:type="dxa"/>
              <w:left w:w="120" w:type="dxa"/>
              <w:bottom w:w="90" w:type="dxa"/>
              <w:right w:w="120" w:type="dxa"/>
            </w:tcMar>
          </w:tcPr>
          <w:p w14:paraId="71E5A7E2" w14:textId="77777777" w:rsidR="00406EFB" w:rsidRPr="00EA619F" w:rsidRDefault="00D52484">
            <w:pPr>
              <w:rPr>
                <w:lang w:val="nb-NO"/>
              </w:rPr>
            </w:pPr>
            <w:r w:rsidRPr="00EA619F">
              <w:rPr>
                <w:b/>
                <w:lang w:val="nb-NO"/>
              </w:rPr>
              <w:t xml:space="preserve">Kort oppsummert: </w:t>
            </w:r>
            <w:r w:rsidRPr="00EA619F">
              <w:rPr>
                <w:lang w:val="nb-NO"/>
              </w:rPr>
              <w:t>Tallene i figuren er ikke hentet ukritisk fra én leverandør. De er satt opp som en institusjonell, illustrativ konsensus basert på siste tilgjengelige langsiktige kapitalmarkedsforventninger (CMA/LTCMA/VCMM) fra BlackRock, Vanguard og J.P. Morgan Asset Management, supplert med en eksplisitt nordisk/norsk overlay fordi Norge og Norden normalt ikke publiseres som egne linjer i de globale tabellene.</w:t>
            </w:r>
          </w:p>
        </w:tc>
      </w:tr>
    </w:tbl>
    <w:p w14:paraId="7FA909F1" w14:textId="77777777" w:rsidR="00406EFB" w:rsidRPr="00EA619F" w:rsidRDefault="00406EFB">
      <w:pPr>
        <w:rPr>
          <w:lang w:val="nb-NO"/>
        </w:rPr>
      </w:pPr>
    </w:p>
    <w:p w14:paraId="12EF6C46" w14:textId="77777777" w:rsidR="00406EFB" w:rsidRDefault="00D52484">
      <w:pPr>
        <w:jc w:val="center"/>
      </w:pPr>
      <w:r>
        <w:rPr>
          <w:noProof/>
        </w:rPr>
        <w:drawing>
          <wp:inline distT="0" distB="0" distL="0" distR="0" wp14:anchorId="18731A26" wp14:editId="12BEE2AC">
            <wp:extent cx="6126480" cy="3719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_chart_rf425_1400x850.png"/>
                    <pic:cNvPicPr/>
                  </pic:nvPicPr>
                  <pic:blipFill>
                    <a:blip r:embed="rId9"/>
                    <a:stretch>
                      <a:fillRect/>
                    </a:stretch>
                  </pic:blipFill>
                  <pic:spPr>
                    <a:xfrm>
                      <a:off x="0" y="0"/>
                      <a:ext cx="6126480" cy="3719649"/>
                    </a:xfrm>
                    <a:prstGeom prst="rect">
                      <a:avLst/>
                    </a:prstGeom>
                  </pic:spPr>
                </pic:pic>
              </a:graphicData>
            </a:graphic>
          </wp:inline>
        </w:drawing>
      </w:r>
    </w:p>
    <w:p w14:paraId="06196784" w14:textId="77777777" w:rsidR="00406EFB" w:rsidRPr="00EA619F" w:rsidRDefault="00D52484">
      <w:pPr>
        <w:jc w:val="center"/>
        <w:rPr>
          <w:lang w:val="nb-NO"/>
        </w:rPr>
      </w:pPr>
      <w:r w:rsidRPr="00EA619F">
        <w:rPr>
          <w:lang w:val="nb-NO"/>
        </w:rPr>
        <w:t>Figur 1. Illustrativ risikograf: risikofri rente 4,50 %, norske benevnelser og separerte etiketter.</w:t>
      </w:r>
    </w:p>
    <w:p w14:paraId="17A4DB44" w14:textId="77777777" w:rsidR="00406EFB" w:rsidRPr="00EA619F" w:rsidRDefault="00D52484">
      <w:pPr>
        <w:pStyle w:val="Overskrift1"/>
        <w:rPr>
          <w:lang w:val="nb-NO"/>
        </w:rPr>
      </w:pPr>
      <w:r w:rsidRPr="00EA619F">
        <w:rPr>
          <w:lang w:val="nb-NO"/>
        </w:rPr>
        <w:t>1. Formål og avgrensning</w:t>
      </w:r>
    </w:p>
    <w:p w14:paraId="2A7C8EE7" w14:textId="77777777" w:rsidR="00406EFB" w:rsidRPr="00EA619F" w:rsidRDefault="00D52484">
      <w:pPr>
        <w:rPr>
          <w:lang w:val="nb-NO"/>
        </w:rPr>
      </w:pPr>
      <w:r w:rsidRPr="00EA619F">
        <w:rPr>
          <w:lang w:val="nb-NO"/>
        </w:rPr>
        <w:t>Dette notatet dokumenterer hvordan tallene i figuren kan begrunnes metodisk. Det beskriver både hvordan forventet avkastning normalt estimeres i bransjen, og hvordan standardavvik/risiko vanligvis modelleres hos de tre mest brukte globale kildene i slike øvelser.</w:t>
      </w:r>
    </w:p>
    <w:p w14:paraId="07830D89" w14:textId="77777777" w:rsidR="00406EFB" w:rsidRPr="00EA619F" w:rsidRDefault="00D52484">
      <w:pPr>
        <w:rPr>
          <w:lang w:val="nb-NO"/>
        </w:rPr>
      </w:pPr>
      <w:r w:rsidRPr="00EA619F">
        <w:rPr>
          <w:lang w:val="nb-NO"/>
        </w:rPr>
        <w:t xml:space="preserve">Viktig avgrensning: BlackRock, Vanguard og J.P. Morgan publiserer ikke én harmonisert tabell med identiske aktivaklasser, valutaer og horisonter. Tallene i figuren er derfor en bearbeidet sammenstilling på tvers av </w:t>
      </w:r>
      <w:r w:rsidRPr="00EA619F">
        <w:rPr>
          <w:lang w:val="nb-NO"/>
        </w:rPr>
        <w:t>kilder. For Norden og Norge er tallene ikke offisielle publiserte CMA-punkter fra disse leverandørene; de er en eksplisitt regional overlay som er forklart i seksjon 5.</w:t>
      </w:r>
    </w:p>
    <w:p w14:paraId="49AAFD89" w14:textId="77777777" w:rsidR="00406EFB" w:rsidRDefault="00D52484">
      <w:pPr>
        <w:pStyle w:val="Overskrift1"/>
      </w:pPr>
      <w:r>
        <w:t>2. Kilder og metodiske hovedtrekk</w:t>
      </w:r>
    </w:p>
    <w:tbl>
      <w:tblPr>
        <w:tblStyle w:val="Tabellrutenett"/>
        <w:tblW w:w="0" w:type="auto"/>
        <w:jc w:val="center"/>
        <w:tblLook w:val="04A0" w:firstRow="1" w:lastRow="0" w:firstColumn="1" w:lastColumn="0" w:noHBand="0" w:noVBand="1"/>
      </w:tblPr>
      <w:tblGrid>
        <w:gridCol w:w="2436"/>
        <w:gridCol w:w="2436"/>
        <w:gridCol w:w="2436"/>
        <w:gridCol w:w="2436"/>
      </w:tblGrid>
      <w:tr w:rsidR="00406EFB" w14:paraId="2F58BFBB" w14:textId="77777777">
        <w:trPr>
          <w:jc w:val="center"/>
        </w:trPr>
        <w:tc>
          <w:tcPr>
            <w:tcW w:w="2436" w:type="dxa"/>
            <w:shd w:val="clear" w:color="auto" w:fill="D9EAF7"/>
            <w:tcMar>
              <w:top w:w="80" w:type="dxa"/>
              <w:left w:w="100" w:type="dxa"/>
              <w:bottom w:w="80" w:type="dxa"/>
              <w:right w:w="100" w:type="dxa"/>
            </w:tcMar>
            <w:vAlign w:val="center"/>
          </w:tcPr>
          <w:p w14:paraId="3FCD5686" w14:textId="77777777" w:rsidR="00406EFB" w:rsidRDefault="00D52484">
            <w:r>
              <w:rPr>
                <w:b/>
              </w:rPr>
              <w:t>Kilde</w:t>
            </w:r>
          </w:p>
        </w:tc>
        <w:tc>
          <w:tcPr>
            <w:tcW w:w="2436" w:type="dxa"/>
            <w:shd w:val="clear" w:color="auto" w:fill="D9EAF7"/>
            <w:tcMar>
              <w:top w:w="80" w:type="dxa"/>
              <w:left w:w="100" w:type="dxa"/>
              <w:bottom w:w="80" w:type="dxa"/>
              <w:right w:w="100" w:type="dxa"/>
            </w:tcMar>
            <w:vAlign w:val="center"/>
          </w:tcPr>
          <w:p w14:paraId="437D1FC8" w14:textId="77777777" w:rsidR="00406EFB" w:rsidRDefault="00D52484">
            <w:r>
              <w:rPr>
                <w:b/>
              </w:rPr>
              <w:t>Horisont</w:t>
            </w:r>
          </w:p>
        </w:tc>
        <w:tc>
          <w:tcPr>
            <w:tcW w:w="2436" w:type="dxa"/>
            <w:shd w:val="clear" w:color="auto" w:fill="D9EAF7"/>
            <w:tcMar>
              <w:top w:w="80" w:type="dxa"/>
              <w:left w:w="100" w:type="dxa"/>
              <w:bottom w:w="80" w:type="dxa"/>
              <w:right w:w="100" w:type="dxa"/>
            </w:tcMar>
            <w:vAlign w:val="center"/>
          </w:tcPr>
          <w:p w14:paraId="323911FA" w14:textId="77777777" w:rsidR="00406EFB" w:rsidRDefault="00D52484">
            <w:r>
              <w:rPr>
                <w:b/>
              </w:rPr>
              <w:t>Hvordan forventet avkastning beskrives</w:t>
            </w:r>
          </w:p>
        </w:tc>
        <w:tc>
          <w:tcPr>
            <w:tcW w:w="2436" w:type="dxa"/>
            <w:shd w:val="clear" w:color="auto" w:fill="D9EAF7"/>
            <w:tcMar>
              <w:top w:w="80" w:type="dxa"/>
              <w:left w:w="100" w:type="dxa"/>
              <w:bottom w:w="80" w:type="dxa"/>
              <w:right w:w="100" w:type="dxa"/>
            </w:tcMar>
            <w:vAlign w:val="center"/>
          </w:tcPr>
          <w:p w14:paraId="527360E3" w14:textId="77777777" w:rsidR="00406EFB" w:rsidRDefault="00D52484">
            <w:r>
              <w:rPr>
                <w:b/>
              </w:rPr>
              <w:t>Hvordan risiko beskrives</w:t>
            </w:r>
          </w:p>
        </w:tc>
      </w:tr>
      <w:tr w:rsidR="00406EFB" w:rsidRPr="00E0474B" w14:paraId="64E06270" w14:textId="77777777">
        <w:trPr>
          <w:jc w:val="center"/>
        </w:trPr>
        <w:tc>
          <w:tcPr>
            <w:tcW w:w="2436" w:type="dxa"/>
            <w:tcMar>
              <w:top w:w="80" w:type="dxa"/>
              <w:left w:w="100" w:type="dxa"/>
              <w:bottom w:w="80" w:type="dxa"/>
              <w:right w:w="100" w:type="dxa"/>
            </w:tcMar>
            <w:vAlign w:val="center"/>
          </w:tcPr>
          <w:p w14:paraId="7AC0258C" w14:textId="77777777" w:rsidR="00406EFB" w:rsidRDefault="00D52484">
            <w:r>
              <w:t>BlackRock</w:t>
            </w:r>
          </w:p>
        </w:tc>
        <w:tc>
          <w:tcPr>
            <w:tcW w:w="2436" w:type="dxa"/>
            <w:tcMar>
              <w:top w:w="80" w:type="dxa"/>
              <w:left w:w="100" w:type="dxa"/>
              <w:bottom w:w="80" w:type="dxa"/>
              <w:right w:w="100" w:type="dxa"/>
            </w:tcMar>
            <w:vAlign w:val="center"/>
          </w:tcPr>
          <w:p w14:paraId="386D6A0A" w14:textId="77777777" w:rsidR="00406EFB" w:rsidRDefault="00D52484">
            <w:r>
              <w:t>5 år og lengre</w:t>
            </w:r>
          </w:p>
        </w:tc>
        <w:tc>
          <w:tcPr>
            <w:tcW w:w="2436" w:type="dxa"/>
            <w:tcMar>
              <w:top w:w="80" w:type="dxa"/>
              <w:left w:w="100" w:type="dxa"/>
              <w:bottom w:w="80" w:type="dxa"/>
              <w:right w:w="100" w:type="dxa"/>
            </w:tcMar>
            <w:vAlign w:val="center"/>
          </w:tcPr>
          <w:p w14:paraId="5889D6FA" w14:textId="77777777" w:rsidR="00406EFB" w:rsidRPr="00EA619F" w:rsidRDefault="00D52484">
            <w:pPr>
              <w:rPr>
                <w:lang w:val="nb-NO"/>
              </w:rPr>
            </w:pPr>
            <w:r w:rsidRPr="00EA619F">
              <w:rPr>
                <w:lang w:val="nb-NO"/>
              </w:rPr>
              <w:t>Scenarioforankret CMA med ERP/implied cost of capital for aksjer, modellert rentekurve for renter og spread-/tapstilnærming for kreditt.</w:t>
            </w:r>
          </w:p>
        </w:tc>
        <w:tc>
          <w:tcPr>
            <w:tcW w:w="2436" w:type="dxa"/>
            <w:tcMar>
              <w:top w:w="80" w:type="dxa"/>
              <w:left w:w="100" w:type="dxa"/>
              <w:bottom w:w="80" w:type="dxa"/>
              <w:right w:w="100" w:type="dxa"/>
            </w:tcMar>
            <w:vAlign w:val="center"/>
          </w:tcPr>
          <w:p w14:paraId="3B090A64" w14:textId="77777777" w:rsidR="00406EFB" w:rsidRPr="00EA619F" w:rsidRDefault="00D52484">
            <w:pPr>
              <w:rPr>
                <w:lang w:val="nb-NO"/>
              </w:rPr>
            </w:pPr>
            <w:r w:rsidRPr="00EA619F">
              <w:rPr>
                <w:lang w:val="nb-NO"/>
              </w:rPr>
              <w:t>Monte Carlo-basert "stochastic engine" som respekterer samvariasjon mellom aktivaklasser gjennom BlackRocks risikomodeller.</w:t>
            </w:r>
          </w:p>
        </w:tc>
      </w:tr>
      <w:tr w:rsidR="00406EFB" w:rsidRPr="00E0474B" w14:paraId="2DCCFE06" w14:textId="77777777">
        <w:trPr>
          <w:jc w:val="center"/>
        </w:trPr>
        <w:tc>
          <w:tcPr>
            <w:tcW w:w="2436" w:type="dxa"/>
            <w:tcMar>
              <w:top w:w="80" w:type="dxa"/>
              <w:left w:w="100" w:type="dxa"/>
              <w:bottom w:w="80" w:type="dxa"/>
              <w:right w:w="100" w:type="dxa"/>
            </w:tcMar>
            <w:vAlign w:val="center"/>
          </w:tcPr>
          <w:p w14:paraId="0F2D40CD" w14:textId="77777777" w:rsidR="00406EFB" w:rsidRDefault="00D52484">
            <w:r>
              <w:t>Vanguard</w:t>
            </w:r>
          </w:p>
        </w:tc>
        <w:tc>
          <w:tcPr>
            <w:tcW w:w="2436" w:type="dxa"/>
            <w:tcMar>
              <w:top w:w="80" w:type="dxa"/>
              <w:left w:w="100" w:type="dxa"/>
              <w:bottom w:w="80" w:type="dxa"/>
              <w:right w:w="100" w:type="dxa"/>
            </w:tcMar>
            <w:vAlign w:val="center"/>
          </w:tcPr>
          <w:p w14:paraId="561BB158" w14:textId="77777777" w:rsidR="00406EFB" w:rsidRDefault="00D52484">
            <w:r>
              <w:t>10 år</w:t>
            </w:r>
          </w:p>
        </w:tc>
        <w:tc>
          <w:tcPr>
            <w:tcW w:w="2436" w:type="dxa"/>
            <w:tcMar>
              <w:top w:w="80" w:type="dxa"/>
              <w:left w:w="100" w:type="dxa"/>
              <w:bottom w:w="80" w:type="dxa"/>
              <w:right w:w="100" w:type="dxa"/>
            </w:tcMar>
            <w:vAlign w:val="center"/>
          </w:tcPr>
          <w:p w14:paraId="7F6F51A2" w14:textId="77777777" w:rsidR="00406EFB" w:rsidRPr="00EA619F" w:rsidRDefault="00D52484">
            <w:pPr>
              <w:rPr>
                <w:lang w:val="nb-NO"/>
              </w:rPr>
            </w:pPr>
            <w:r w:rsidRPr="00EA619F">
              <w:rPr>
                <w:lang w:val="nb-NO"/>
              </w:rPr>
              <w:t>VCMM simulerer fordeling av framtidige avkastninger ved å modellere dynamiske sammenhenger mellom risikofaktorer og aktivaklasser.</w:t>
            </w:r>
          </w:p>
        </w:tc>
        <w:tc>
          <w:tcPr>
            <w:tcW w:w="2436" w:type="dxa"/>
            <w:tcMar>
              <w:top w:w="80" w:type="dxa"/>
              <w:left w:w="100" w:type="dxa"/>
              <w:bottom w:w="80" w:type="dxa"/>
              <w:right w:w="100" w:type="dxa"/>
            </w:tcMar>
            <w:vAlign w:val="center"/>
          </w:tcPr>
          <w:p w14:paraId="6C9BBDCB" w14:textId="77777777" w:rsidR="00406EFB" w:rsidRPr="00EA619F" w:rsidRDefault="00D52484">
            <w:pPr>
              <w:rPr>
                <w:lang w:val="nb-NO"/>
              </w:rPr>
            </w:pPr>
            <w:r w:rsidRPr="00EA619F">
              <w:rPr>
                <w:lang w:val="nb-NO"/>
              </w:rPr>
              <w:t xml:space="preserve">VCMM </w:t>
            </w:r>
            <w:proofErr w:type="gramStart"/>
            <w:r w:rsidRPr="00EA619F">
              <w:rPr>
                <w:lang w:val="nb-NO"/>
              </w:rPr>
              <w:t>genererer</w:t>
            </w:r>
            <w:proofErr w:type="gramEnd"/>
            <w:r w:rsidRPr="00EA619F">
              <w:rPr>
                <w:lang w:val="nb-NO"/>
              </w:rPr>
              <w:t xml:space="preserve"> fordelinger for avkastning, volatilitet og korrelasjoner ved Monte Carlo-simulering basert på historiske data.</w:t>
            </w:r>
          </w:p>
        </w:tc>
      </w:tr>
      <w:tr w:rsidR="00406EFB" w:rsidRPr="00E0474B" w14:paraId="4C29ABF8" w14:textId="77777777">
        <w:trPr>
          <w:jc w:val="center"/>
        </w:trPr>
        <w:tc>
          <w:tcPr>
            <w:tcW w:w="2436" w:type="dxa"/>
            <w:tcMar>
              <w:top w:w="80" w:type="dxa"/>
              <w:left w:w="100" w:type="dxa"/>
              <w:bottom w:w="80" w:type="dxa"/>
              <w:right w:w="100" w:type="dxa"/>
            </w:tcMar>
            <w:vAlign w:val="center"/>
          </w:tcPr>
          <w:p w14:paraId="2C39E799" w14:textId="77777777" w:rsidR="00406EFB" w:rsidRDefault="00D52484">
            <w:r>
              <w:t>J.P. Morgan AM</w:t>
            </w:r>
          </w:p>
        </w:tc>
        <w:tc>
          <w:tcPr>
            <w:tcW w:w="2436" w:type="dxa"/>
            <w:tcMar>
              <w:top w:w="80" w:type="dxa"/>
              <w:left w:w="100" w:type="dxa"/>
              <w:bottom w:w="80" w:type="dxa"/>
              <w:right w:w="100" w:type="dxa"/>
            </w:tcMar>
            <w:vAlign w:val="center"/>
          </w:tcPr>
          <w:p w14:paraId="4476B3FF" w14:textId="77777777" w:rsidR="00406EFB" w:rsidRDefault="00D52484">
            <w:r>
              <w:t>10–15 år</w:t>
            </w:r>
          </w:p>
        </w:tc>
        <w:tc>
          <w:tcPr>
            <w:tcW w:w="2436" w:type="dxa"/>
            <w:tcMar>
              <w:top w:w="80" w:type="dxa"/>
              <w:left w:w="100" w:type="dxa"/>
              <w:bottom w:w="80" w:type="dxa"/>
              <w:right w:w="100" w:type="dxa"/>
            </w:tcMar>
            <w:vAlign w:val="center"/>
          </w:tcPr>
          <w:p w14:paraId="18E40831" w14:textId="77777777" w:rsidR="00406EFB" w:rsidRPr="00EA619F" w:rsidRDefault="00D52484">
            <w:pPr>
              <w:rPr>
                <w:lang w:val="nb-NO"/>
              </w:rPr>
            </w:pPr>
            <w:r w:rsidRPr="00EA619F">
              <w:rPr>
                <w:lang w:val="nb-NO"/>
              </w:rPr>
              <w:t>Building-block/LTCMA: avkastning brytes ned i mer prognostiserbare drivere for hver aktivaklasse.</w:t>
            </w:r>
          </w:p>
        </w:tc>
        <w:tc>
          <w:tcPr>
            <w:tcW w:w="2436" w:type="dxa"/>
            <w:tcMar>
              <w:top w:w="80" w:type="dxa"/>
              <w:left w:w="100" w:type="dxa"/>
              <w:bottom w:w="80" w:type="dxa"/>
              <w:right w:w="100" w:type="dxa"/>
            </w:tcMar>
            <w:vAlign w:val="center"/>
          </w:tcPr>
          <w:p w14:paraId="7F1B0F5F" w14:textId="77777777" w:rsidR="00406EFB" w:rsidRPr="00EA619F" w:rsidRDefault="00D52484">
            <w:pPr>
              <w:rPr>
                <w:lang w:val="nb-NO"/>
              </w:rPr>
            </w:pPr>
            <w:r w:rsidRPr="00EA619F">
              <w:rPr>
                <w:lang w:val="nb-NO"/>
              </w:rPr>
              <w:t>Egne antagelser for volatilitet og korrelasjon justeres for høyere makrovolatilitet; for private markeder brukes "unsmoothed" volatilitetsmål.</w:t>
            </w:r>
          </w:p>
        </w:tc>
      </w:tr>
    </w:tbl>
    <w:p w14:paraId="75B717B1" w14:textId="77777777" w:rsidR="00406EFB" w:rsidRPr="00EA619F" w:rsidRDefault="00D52484">
      <w:pPr>
        <w:rPr>
          <w:lang w:val="nb-NO"/>
        </w:rPr>
      </w:pPr>
      <w:r w:rsidRPr="00EA619F">
        <w:rPr>
          <w:b/>
          <w:lang w:val="nb-NO"/>
        </w:rPr>
        <w:t xml:space="preserve">Offisielle metodikklenker: </w:t>
      </w:r>
      <w:hyperlink r:id="rId10">
        <w:proofErr w:type="spellStart"/>
        <w:r w:rsidRPr="00EA619F">
          <w:rPr>
            <w:color w:val="0563C1"/>
            <w:u w:val="single"/>
            <w:lang w:val="nb-NO"/>
          </w:rPr>
          <w:t>BlackRock</w:t>
        </w:r>
        <w:proofErr w:type="spellEnd"/>
        <w:r w:rsidRPr="00EA619F">
          <w:rPr>
            <w:color w:val="0563C1"/>
            <w:u w:val="single"/>
            <w:lang w:val="nb-NO"/>
          </w:rPr>
          <w:t xml:space="preserve"> CMA</w:t>
        </w:r>
      </w:hyperlink>
      <w:r w:rsidRPr="00EA619F">
        <w:rPr>
          <w:lang w:val="nb-NO"/>
        </w:rPr>
        <w:t xml:space="preserve">  •  </w:t>
      </w:r>
      <w:hyperlink r:id="rId11">
        <w:proofErr w:type="spellStart"/>
        <w:r w:rsidRPr="00EA619F">
          <w:rPr>
            <w:color w:val="0563C1"/>
            <w:u w:val="single"/>
            <w:lang w:val="nb-NO"/>
          </w:rPr>
          <w:t>Vanguard</w:t>
        </w:r>
        <w:proofErr w:type="spellEnd"/>
        <w:r w:rsidRPr="00EA619F">
          <w:rPr>
            <w:color w:val="0563C1"/>
            <w:u w:val="single"/>
            <w:lang w:val="nb-NO"/>
          </w:rPr>
          <w:t xml:space="preserve"> VCMM </w:t>
        </w:r>
        <w:proofErr w:type="spellStart"/>
        <w:r w:rsidRPr="00EA619F">
          <w:rPr>
            <w:color w:val="0563C1"/>
            <w:u w:val="single"/>
            <w:lang w:val="nb-NO"/>
          </w:rPr>
          <w:t>forecasts</w:t>
        </w:r>
        <w:proofErr w:type="spellEnd"/>
      </w:hyperlink>
      <w:r w:rsidRPr="00EA619F">
        <w:rPr>
          <w:lang w:val="nb-NO"/>
        </w:rPr>
        <w:t xml:space="preserve">  •  </w:t>
      </w:r>
      <w:hyperlink r:id="rId12">
        <w:r w:rsidRPr="00EA619F">
          <w:rPr>
            <w:color w:val="0563C1"/>
            <w:u w:val="single"/>
            <w:lang w:val="nb-NO"/>
          </w:rPr>
          <w:t>J.P. Morgan 2026 LTCMA</w:t>
        </w:r>
      </w:hyperlink>
    </w:p>
    <w:p w14:paraId="0C14CFE6" w14:textId="77777777" w:rsidR="00406EFB" w:rsidRPr="00EA619F" w:rsidRDefault="00D52484">
      <w:pPr>
        <w:pStyle w:val="Overskrift1"/>
        <w:rPr>
          <w:lang w:val="nb-NO"/>
        </w:rPr>
      </w:pPr>
      <w:r w:rsidRPr="00EA619F">
        <w:rPr>
          <w:lang w:val="nb-NO"/>
        </w:rPr>
        <w:t>3. Metodikk for forventet avkastning</w:t>
      </w:r>
    </w:p>
    <w:p w14:paraId="157861EE" w14:textId="77777777" w:rsidR="00406EFB" w:rsidRPr="00EA619F" w:rsidRDefault="00D52484">
      <w:pPr>
        <w:rPr>
          <w:lang w:val="nb-NO"/>
        </w:rPr>
      </w:pPr>
      <w:r w:rsidRPr="00EA619F">
        <w:rPr>
          <w:lang w:val="nb-NO"/>
        </w:rPr>
        <w:t xml:space="preserve">På tvers av leverandørene er bransjestandarden i praksis en variant av “risikofri rente + risikopremie”, men </w:t>
      </w:r>
      <w:proofErr w:type="gramStart"/>
      <w:r w:rsidRPr="00EA619F">
        <w:rPr>
          <w:lang w:val="nb-NO"/>
        </w:rPr>
        <w:t>implementert</w:t>
      </w:r>
      <w:proofErr w:type="gramEnd"/>
      <w:r w:rsidRPr="00EA619F">
        <w:rPr>
          <w:lang w:val="nb-NO"/>
        </w:rPr>
        <w:t xml:space="preserve"> forskjellig i hver aktivaklasse.</w:t>
      </w:r>
    </w:p>
    <w:p w14:paraId="4651A3DA" w14:textId="77777777" w:rsidR="00406EFB" w:rsidRPr="00EA619F" w:rsidRDefault="00D52484">
      <w:pPr>
        <w:pStyle w:val="Punktliste"/>
        <w:rPr>
          <w:lang w:val="nb-NO"/>
        </w:rPr>
      </w:pPr>
      <w:r w:rsidRPr="00EA619F">
        <w:rPr>
          <w:lang w:val="nb-NO"/>
        </w:rPr>
        <w:t>Aksjer: forventet avkastning bygges typisk fra risikofri rente, egenkapitalpremie, vekst/utbytteforventninger og eventuelt verdsettelsesnormalisering.</w:t>
      </w:r>
    </w:p>
    <w:p w14:paraId="4507CB78" w14:textId="77777777" w:rsidR="00406EFB" w:rsidRPr="00EA619F" w:rsidRDefault="00D52484">
      <w:pPr>
        <w:pStyle w:val="Punktliste"/>
        <w:rPr>
          <w:lang w:val="nb-NO"/>
        </w:rPr>
      </w:pPr>
      <w:r w:rsidRPr="00EA619F">
        <w:rPr>
          <w:lang w:val="nb-NO"/>
        </w:rPr>
        <w:t>Statsobligasjoner: forventet avkastning er i stor grad forankret i dagens og fremtidig modellert rentekurve.</w:t>
      </w:r>
    </w:p>
    <w:p w14:paraId="57159C4D" w14:textId="77777777" w:rsidR="00406EFB" w:rsidRPr="00EA619F" w:rsidRDefault="00D52484">
      <w:pPr>
        <w:pStyle w:val="Punktliste"/>
        <w:rPr>
          <w:lang w:val="nb-NO"/>
        </w:rPr>
      </w:pPr>
      <w:r w:rsidRPr="00EA619F">
        <w:rPr>
          <w:lang w:val="nb-NO"/>
        </w:rPr>
        <w:t>Kreditt: forventet avkastning tar utgangspunkt i yield/spread, justert for forventede tap ved mislighold og nedgraderinger.</w:t>
      </w:r>
    </w:p>
    <w:p w14:paraId="731A0A6A" w14:textId="77777777" w:rsidR="00406EFB" w:rsidRPr="00EA619F" w:rsidRDefault="00D52484">
      <w:pPr>
        <w:pStyle w:val="Punktliste"/>
        <w:rPr>
          <w:lang w:val="nb-NO"/>
        </w:rPr>
      </w:pPr>
      <w:r w:rsidRPr="00EA619F">
        <w:rPr>
          <w:lang w:val="nb-NO"/>
        </w:rPr>
        <w:t>Private markeder og realaktiva: forventet avkastning bygges opp fra offentlig markedsforankring (renter, børsnotert equity/kreditt) pluss aktivaklassespesifikke drivere som leieinntekter, belåning, exit-multipler og illikviditetspremier.</w:t>
      </w:r>
    </w:p>
    <w:p w14:paraId="490E798C" w14:textId="77777777" w:rsidR="00406EFB" w:rsidRPr="00EA619F" w:rsidRDefault="00D52484">
      <w:pPr>
        <w:pStyle w:val="Overskrift2"/>
        <w:rPr>
          <w:lang w:val="nb-NO"/>
        </w:rPr>
      </w:pPr>
      <w:r w:rsidRPr="00EA619F">
        <w:rPr>
          <w:lang w:val="nb-NO"/>
        </w:rPr>
        <w:t>3.1 BlackRock</w:t>
      </w:r>
    </w:p>
    <w:p w14:paraId="4B59BF35" w14:textId="77777777" w:rsidR="00406EFB" w:rsidRPr="00EA619F" w:rsidRDefault="00D52484">
      <w:pPr>
        <w:rPr>
          <w:lang w:val="nb-NO"/>
        </w:rPr>
      </w:pPr>
      <w:r w:rsidRPr="00EA619F">
        <w:rPr>
          <w:lang w:val="nb-NO"/>
        </w:rPr>
        <w:t>BlackRock legger equity risk premium (ERP) i sentrum for aksjemodellen og beregner ERP med en implied cost of capital-/diskontert kontantstrøm-tilnærming. For renter modelleres framtidige yieldkurver ved å kombinere forventet kort rente og modellert terminpremie. For kreditt kombineres forventede spreader med forventede tap fra mislighold og nedgraderinger.</w:t>
      </w:r>
    </w:p>
    <w:p w14:paraId="4D093BCE" w14:textId="77777777" w:rsidR="00406EFB" w:rsidRPr="00EA619F" w:rsidRDefault="00D52484">
      <w:pPr>
        <w:pStyle w:val="Overskrift2"/>
        <w:rPr>
          <w:lang w:val="nb-NO"/>
        </w:rPr>
      </w:pPr>
      <w:r w:rsidRPr="00EA619F">
        <w:rPr>
          <w:lang w:val="nb-NO"/>
        </w:rPr>
        <w:t>3.2 Vanguard</w:t>
      </w:r>
    </w:p>
    <w:p w14:paraId="764828B9" w14:textId="77777777" w:rsidR="00406EFB" w:rsidRPr="00EA619F" w:rsidRDefault="00D52484">
      <w:pPr>
        <w:rPr>
          <w:lang w:val="nb-NO"/>
        </w:rPr>
      </w:pPr>
      <w:r w:rsidRPr="00EA619F">
        <w:rPr>
          <w:lang w:val="nb-NO"/>
        </w:rPr>
        <w:t>Vanguards VCMM er en statistisk simuleringsmodell. Den estimerer dynamiske relasjoner mellom risikofaktorer og aktivaklasseavkastning basert på historiske månedlige finansielle og økonomiske data, og kjører deretter Monte Carlo-simuleringer for å produsere en fordeling av mulige geometriske avkastninger over ulike horisonter.</w:t>
      </w:r>
    </w:p>
    <w:p w14:paraId="494F27B5" w14:textId="77777777" w:rsidR="00406EFB" w:rsidRPr="00EA619F" w:rsidRDefault="00D52484">
      <w:pPr>
        <w:pStyle w:val="Overskrift2"/>
        <w:rPr>
          <w:lang w:val="nb-NO"/>
        </w:rPr>
      </w:pPr>
      <w:r w:rsidRPr="00EA619F">
        <w:rPr>
          <w:lang w:val="nb-NO"/>
        </w:rPr>
        <w:t>3.3 J.P. Morgan Asset Management</w:t>
      </w:r>
    </w:p>
    <w:p w14:paraId="7CB3372C" w14:textId="77777777" w:rsidR="00406EFB" w:rsidRPr="00EA619F" w:rsidRDefault="00D52484">
      <w:pPr>
        <w:rPr>
          <w:lang w:val="nb-NO"/>
        </w:rPr>
      </w:pPr>
      <w:r w:rsidRPr="00EA619F">
        <w:rPr>
          <w:lang w:val="nb-NO"/>
        </w:rPr>
        <w:t>J.P. Morgans LTCMA bruker en byggesteinmetode (“building-block methodology”) der avkastningen i hver aktivaklasse dekomponeres i mer prognostiserbare drivere. For aksjer betyr dette typisk kombinasjoner av vekst, inflasjon, kontantutbetalinger, marginer og verdsettelse; for renter og kreditt inngår startyield, terminpremier, spreader og kredittap.</w:t>
      </w:r>
    </w:p>
    <w:p w14:paraId="02588CD2" w14:textId="77777777" w:rsidR="00406EFB" w:rsidRPr="00EA619F" w:rsidRDefault="00D52484">
      <w:pPr>
        <w:pStyle w:val="Overskrift2"/>
        <w:rPr>
          <w:lang w:val="nb-NO"/>
        </w:rPr>
      </w:pPr>
      <w:r w:rsidRPr="00EA619F">
        <w:rPr>
          <w:lang w:val="nb-NO"/>
        </w:rPr>
        <w:t>3.4 Forenklede modellskisser og formler</w:t>
      </w:r>
    </w:p>
    <w:p w14:paraId="1A1F1541" w14:textId="77777777" w:rsidR="00406EFB" w:rsidRPr="00EA619F" w:rsidRDefault="00D52484">
      <w:pPr>
        <w:rPr>
          <w:lang w:val="nb-NO"/>
        </w:rPr>
      </w:pPr>
      <w:r w:rsidRPr="00EA619F">
        <w:rPr>
          <w:lang w:val="nb-NO"/>
        </w:rPr>
        <w:t>Institusjonene publiserer normalt ikke én universell ligning per aktivaklasse. Nedenfor er derfor forenklede modellskisser som gjengir hovedlogikken i metodikken, og som er egnet til intern dokumentasjon og presentasjoner.</w:t>
      </w:r>
    </w:p>
    <w:p w14:paraId="357F249A" w14:textId="77777777" w:rsidR="00406EFB" w:rsidRPr="00EA619F" w:rsidRDefault="00D52484">
      <w:pPr>
        <w:pStyle w:val="Overskrift3"/>
        <w:rPr>
          <w:lang w:val="nb-NO"/>
        </w:rPr>
      </w:pPr>
      <w:r w:rsidRPr="00EA619F">
        <w:rPr>
          <w:lang w:val="nb-NO"/>
        </w:rPr>
        <w:t>BlackRock - forventet avkastning</w:t>
      </w:r>
    </w:p>
    <w:p w14:paraId="69ABE516" w14:textId="77777777" w:rsidR="00406EFB" w:rsidRPr="00EA619F" w:rsidRDefault="00D52484">
      <w:pPr>
        <w:rPr>
          <w:lang w:val="nb-NO"/>
        </w:rPr>
      </w:pPr>
      <w:r w:rsidRPr="00EA619F">
        <w:rPr>
          <w:lang w:val="nb-NO"/>
        </w:rPr>
        <w:t>For aksjer kan tilnærmingen uttrykkes som:</w:t>
      </w:r>
    </w:p>
    <w:p w14:paraId="02805F3A" w14:textId="77777777" w:rsidR="00406EFB" w:rsidRPr="00EA619F" w:rsidRDefault="00D52484">
      <w:pPr>
        <w:rPr>
          <w:lang w:val="nb-NO"/>
        </w:rPr>
      </w:pPr>
      <w:r w:rsidRPr="00EA619F">
        <w:rPr>
          <w:lang w:val="nb-NO"/>
        </w:rPr>
        <w:t>E(R) = R_f + ERP</w:t>
      </w:r>
    </w:p>
    <w:p w14:paraId="11D1EC92" w14:textId="77777777" w:rsidR="00406EFB" w:rsidRPr="00EA619F" w:rsidRDefault="00D52484">
      <w:pPr>
        <w:rPr>
          <w:lang w:val="nb-NO"/>
        </w:rPr>
      </w:pPr>
      <w:r w:rsidRPr="00EA619F">
        <w:rPr>
          <w:lang w:val="nb-NO"/>
        </w:rPr>
        <w:t>eller mer faktorbasert:</w:t>
      </w:r>
    </w:p>
    <w:p w14:paraId="3D6D4EDF" w14:textId="77777777" w:rsidR="00406EFB" w:rsidRPr="00EA619F" w:rsidRDefault="00D52484">
      <w:pPr>
        <w:rPr>
          <w:lang w:val="nb-NO"/>
        </w:rPr>
      </w:pPr>
      <w:r w:rsidRPr="00EA619F">
        <w:rPr>
          <w:lang w:val="nb-NO"/>
        </w:rPr>
        <w:t>E(R) = beta × faktorpremier + alpha</w:t>
      </w:r>
    </w:p>
    <w:p w14:paraId="2577837A" w14:textId="77777777" w:rsidR="00406EFB" w:rsidRPr="00EA619F" w:rsidRDefault="00D52484">
      <w:pPr>
        <w:rPr>
          <w:lang w:val="nb-NO"/>
        </w:rPr>
      </w:pPr>
      <w:r w:rsidRPr="00EA619F">
        <w:rPr>
          <w:lang w:val="nb-NO"/>
        </w:rPr>
        <w:t>For kreditt brukes konseptuelt:</w:t>
      </w:r>
    </w:p>
    <w:p w14:paraId="74FB9737" w14:textId="77777777" w:rsidR="00406EFB" w:rsidRPr="00EA619F" w:rsidRDefault="00D52484">
      <w:pPr>
        <w:rPr>
          <w:lang w:val="nb-NO"/>
        </w:rPr>
      </w:pPr>
      <w:r w:rsidRPr="00EA619F">
        <w:rPr>
          <w:lang w:val="nb-NO"/>
        </w:rPr>
        <w:t>E(R) ≈ risikofri rente + spread - forventede kredittap</w:t>
      </w:r>
    </w:p>
    <w:p w14:paraId="72E50626" w14:textId="77777777" w:rsidR="00406EFB" w:rsidRPr="00EA619F" w:rsidRDefault="00D52484">
      <w:pPr>
        <w:rPr>
          <w:lang w:val="nb-NO"/>
        </w:rPr>
      </w:pPr>
      <w:r w:rsidRPr="00EA619F">
        <w:rPr>
          <w:lang w:val="nb-NO"/>
        </w:rPr>
        <w:t>For volatilitet og samvariasjon bruker BlackRock en faktorbasert risikomodell:</w:t>
      </w:r>
    </w:p>
    <w:p w14:paraId="5729D2AB" w14:textId="77777777" w:rsidR="00406EFB" w:rsidRPr="00EA619F" w:rsidRDefault="00D52484">
      <w:pPr>
        <w:rPr>
          <w:lang w:val="nb-NO"/>
        </w:rPr>
      </w:pPr>
      <w:r w:rsidRPr="00EA619F">
        <w:rPr>
          <w:lang w:val="nb-NO"/>
        </w:rPr>
        <w:t>sigma² = beta × Sigma_f × beta' + Sigma_epsilon</w:t>
      </w:r>
    </w:p>
    <w:p w14:paraId="7A83D57D" w14:textId="77777777" w:rsidR="00406EFB" w:rsidRPr="00EA619F" w:rsidRDefault="00D52484">
      <w:pPr>
        <w:rPr>
          <w:lang w:val="nb-NO"/>
        </w:rPr>
      </w:pPr>
      <w:r w:rsidRPr="00EA619F">
        <w:rPr>
          <w:lang w:val="nb-NO"/>
        </w:rPr>
        <w:t>der beta er faktoreksponeringer, Sigma_f er kovariansmatrisen for faktorene, og Sigma_epsilon er idiosynkratisk risiko. I praksis estimeres parametrene dynamisk og justeres for regimeendringer.</w:t>
      </w:r>
    </w:p>
    <w:p w14:paraId="2EA227C7" w14:textId="77777777" w:rsidR="00406EFB" w:rsidRPr="00EA619F" w:rsidRDefault="00D52484">
      <w:pPr>
        <w:pStyle w:val="Overskrift3"/>
        <w:rPr>
          <w:lang w:val="nb-NO"/>
        </w:rPr>
      </w:pPr>
      <w:r w:rsidRPr="00EA619F">
        <w:rPr>
          <w:lang w:val="nb-NO"/>
        </w:rPr>
        <w:t>Vanguard - forventet avkastning</w:t>
      </w:r>
    </w:p>
    <w:p w14:paraId="1DDCD171" w14:textId="77777777" w:rsidR="00406EFB" w:rsidRPr="00EA619F" w:rsidRDefault="00D52484">
      <w:pPr>
        <w:rPr>
          <w:lang w:val="nb-NO"/>
        </w:rPr>
      </w:pPr>
      <w:r w:rsidRPr="00EA619F">
        <w:rPr>
          <w:lang w:val="nb-NO"/>
        </w:rPr>
        <w:t>VCMM er en simuleringsmodell og uttrykkes best som en funksjon av sentrale drivere:</w:t>
      </w:r>
    </w:p>
    <w:p w14:paraId="3B5B8EDA" w14:textId="77777777" w:rsidR="00406EFB" w:rsidRPr="00EA619F" w:rsidRDefault="00D52484">
      <w:pPr>
        <w:rPr>
          <w:lang w:val="nb-NO"/>
        </w:rPr>
      </w:pPr>
      <w:r w:rsidRPr="00EA619F">
        <w:rPr>
          <w:lang w:val="nb-NO"/>
        </w:rPr>
        <w:t xml:space="preserve">E(R) = </w:t>
      </w:r>
      <w:proofErr w:type="gramStart"/>
      <w:r w:rsidRPr="00EA619F">
        <w:rPr>
          <w:lang w:val="nb-NO"/>
        </w:rPr>
        <w:t>f(</w:t>
      </w:r>
      <w:proofErr w:type="gramEnd"/>
      <w:r w:rsidRPr="00EA619F">
        <w:rPr>
          <w:lang w:val="nb-NO"/>
        </w:rPr>
        <w:t xml:space="preserve">verdsettelse, renter, </w:t>
      </w:r>
      <w:proofErr w:type="gramStart"/>
      <w:r w:rsidRPr="00EA619F">
        <w:rPr>
          <w:lang w:val="nb-NO"/>
        </w:rPr>
        <w:t>inflasjon,</w:t>
      </w:r>
      <w:proofErr w:type="gramEnd"/>
      <w:r w:rsidRPr="00EA619F">
        <w:rPr>
          <w:lang w:val="nb-NO"/>
        </w:rPr>
        <w:t xml:space="preserve"> vekst)</w:t>
      </w:r>
    </w:p>
    <w:p w14:paraId="428420E1" w14:textId="77777777" w:rsidR="00406EFB" w:rsidRPr="00EA619F" w:rsidRDefault="00D52484">
      <w:pPr>
        <w:rPr>
          <w:lang w:val="nb-NO"/>
        </w:rPr>
      </w:pPr>
      <w:r w:rsidRPr="00EA619F">
        <w:rPr>
          <w:lang w:val="nb-NO"/>
        </w:rPr>
        <w:t>For aksjer brukes ofte følgende intuitive dekomponering i presentasjoner:</w:t>
      </w:r>
    </w:p>
    <w:p w14:paraId="61EE2FDA" w14:textId="77777777" w:rsidR="00406EFB" w:rsidRPr="00EA619F" w:rsidRDefault="00D52484">
      <w:pPr>
        <w:rPr>
          <w:lang w:val="nb-NO"/>
        </w:rPr>
      </w:pPr>
      <w:r w:rsidRPr="00EA619F">
        <w:rPr>
          <w:lang w:val="nb-NO"/>
        </w:rPr>
        <w:t>E(R) ≈ dividendeyield + inntjeningsvekst + endring i verdsettelse</w:t>
      </w:r>
    </w:p>
    <w:p w14:paraId="09AEAF6A" w14:textId="77777777" w:rsidR="00406EFB" w:rsidRPr="00EA619F" w:rsidRDefault="00D52484">
      <w:pPr>
        <w:rPr>
          <w:lang w:val="nb-NO"/>
        </w:rPr>
      </w:pPr>
      <w:r w:rsidRPr="00EA619F">
        <w:rPr>
          <w:lang w:val="nb-NO"/>
        </w:rPr>
        <w:t>Volatilitet kommer ikke fra én lukket formel, men fra Monte Carlo-simuleringer basert på estimerte relasjoner mellom makrovariabler og aktivapriser. Konseptuelt kan dette skrives som:</w:t>
      </w:r>
    </w:p>
    <w:p w14:paraId="0D8C3A98" w14:textId="77777777" w:rsidR="00406EFB" w:rsidRPr="00EA619F" w:rsidRDefault="00D52484">
      <w:pPr>
        <w:rPr>
          <w:lang w:val="nb-NO"/>
        </w:rPr>
      </w:pPr>
      <w:r w:rsidRPr="00EA619F">
        <w:rPr>
          <w:lang w:val="nb-NO"/>
        </w:rPr>
        <w:t>sigma = standardavviket i simulerte avkastningsbaner</w:t>
      </w:r>
    </w:p>
    <w:p w14:paraId="57B09ED3" w14:textId="77777777" w:rsidR="00406EFB" w:rsidRPr="00EA619F" w:rsidRDefault="00D52484">
      <w:pPr>
        <w:pStyle w:val="Overskrift3"/>
        <w:rPr>
          <w:lang w:val="nb-NO"/>
        </w:rPr>
      </w:pPr>
      <w:r w:rsidRPr="00EA619F">
        <w:rPr>
          <w:lang w:val="nb-NO"/>
        </w:rPr>
        <w:t>J.P. Morgan Asset Management - forventet avkastning</w:t>
      </w:r>
    </w:p>
    <w:p w14:paraId="2DC9FB0A" w14:textId="77777777" w:rsidR="00406EFB" w:rsidRPr="00EA619F" w:rsidRDefault="00D52484">
      <w:pPr>
        <w:rPr>
          <w:lang w:val="nb-NO"/>
        </w:rPr>
      </w:pPr>
      <w:r w:rsidRPr="00EA619F">
        <w:rPr>
          <w:lang w:val="nb-NO"/>
        </w:rPr>
        <w:t>J.P. Morgan bruker en building-block-tilnærming. For aksjer kan den forenkles til:</w:t>
      </w:r>
    </w:p>
    <w:p w14:paraId="38B0882C" w14:textId="77777777" w:rsidR="00406EFB" w:rsidRDefault="00D52484">
      <w:r>
        <w:t>E(R) = income + growth + valuation change</w:t>
      </w:r>
    </w:p>
    <w:p w14:paraId="6764DC25" w14:textId="77777777" w:rsidR="00406EFB" w:rsidRPr="00EA619F" w:rsidRDefault="00D52484">
      <w:pPr>
        <w:rPr>
          <w:lang w:val="nb-NO"/>
        </w:rPr>
      </w:pPr>
      <w:r w:rsidRPr="00EA619F">
        <w:rPr>
          <w:lang w:val="nb-NO"/>
        </w:rPr>
        <w:t>For obligasjoner og kreditt brukes ofte en variant av:</w:t>
      </w:r>
    </w:p>
    <w:p w14:paraId="235E6151" w14:textId="77777777" w:rsidR="00406EFB" w:rsidRPr="00EA619F" w:rsidRDefault="00D52484">
      <w:pPr>
        <w:rPr>
          <w:lang w:val="nb-NO"/>
        </w:rPr>
      </w:pPr>
      <w:r w:rsidRPr="00EA619F">
        <w:rPr>
          <w:lang w:val="nb-NO"/>
        </w:rPr>
        <w:t>E(R) ≈ yield to maturity - forventede tap + eventuell kurseffekt fra rente/spread-normalisering</w:t>
      </w:r>
    </w:p>
    <w:p w14:paraId="76C82D26" w14:textId="77777777" w:rsidR="00406EFB" w:rsidRPr="00EA619F" w:rsidRDefault="00D52484">
      <w:pPr>
        <w:rPr>
          <w:lang w:val="nb-NO"/>
        </w:rPr>
      </w:pPr>
      <w:r w:rsidRPr="00EA619F">
        <w:rPr>
          <w:lang w:val="nb-NO"/>
        </w:rPr>
        <w:t>Volatilitet modelleres ved hjelp av historiske og fremoverskuende antagelser om faktorvolatilitet og korrelasjoner. For en portefølje eller aktivaklasse kan dette forenklet uttrykkes som:</w:t>
      </w:r>
    </w:p>
    <w:p w14:paraId="78790B01" w14:textId="77777777" w:rsidR="00406EFB" w:rsidRDefault="00D52484">
      <w:r>
        <w:t xml:space="preserve">sigma_p = </w:t>
      </w:r>
      <w:proofErr w:type="gramStart"/>
      <w:r>
        <w:t>sqrt(</w:t>
      </w:r>
      <w:proofErr w:type="gramEnd"/>
      <w:r>
        <w:t>w' × Sigma × w)</w:t>
      </w:r>
    </w:p>
    <w:p w14:paraId="56A81D79" w14:textId="77777777" w:rsidR="00406EFB" w:rsidRPr="00EA619F" w:rsidRDefault="00D52484">
      <w:pPr>
        <w:rPr>
          <w:lang w:val="nb-NO"/>
        </w:rPr>
      </w:pPr>
      <w:r w:rsidRPr="00EA619F">
        <w:rPr>
          <w:lang w:val="nb-NO"/>
        </w:rPr>
        <w:t>der Sigma er kovariansmatrisen og w er vektene/eksponeringene mot underliggende drivere eller delsegmenter.</w:t>
      </w:r>
    </w:p>
    <w:p w14:paraId="0A7F8B65" w14:textId="77777777" w:rsidR="00406EFB" w:rsidRPr="00EA619F" w:rsidRDefault="00D52484">
      <w:pPr>
        <w:pStyle w:val="Overskrift1"/>
        <w:rPr>
          <w:lang w:val="nb-NO"/>
        </w:rPr>
      </w:pPr>
      <w:r w:rsidRPr="00EA619F">
        <w:rPr>
          <w:lang w:val="nb-NO"/>
        </w:rPr>
        <w:t>4. Metodikk for standardavvik og annen risiko</w:t>
      </w:r>
    </w:p>
    <w:p w14:paraId="5A134C66" w14:textId="77777777" w:rsidR="00406EFB" w:rsidRPr="00EA619F" w:rsidRDefault="00D52484">
      <w:pPr>
        <w:pStyle w:val="Overskrift2"/>
        <w:rPr>
          <w:lang w:val="nb-NO"/>
        </w:rPr>
      </w:pPr>
      <w:r w:rsidRPr="00EA619F">
        <w:rPr>
          <w:lang w:val="nb-NO"/>
        </w:rPr>
        <w:t>4.1 Praktisk definisjon av volatilitet</w:t>
      </w:r>
    </w:p>
    <w:p w14:paraId="3166D36D" w14:textId="77777777" w:rsidR="00406EFB" w:rsidRPr="00EA619F" w:rsidRDefault="00D52484">
      <w:pPr>
        <w:rPr>
          <w:lang w:val="nb-NO"/>
        </w:rPr>
      </w:pPr>
      <w:r w:rsidRPr="00EA619F">
        <w:rPr>
          <w:lang w:val="nb-NO"/>
        </w:rPr>
        <w:t>I kunde- og komitémateriale er volatilitet normalt annualisert standardavvik i avkastning:</w:t>
      </w:r>
    </w:p>
    <w:p w14:paraId="50C9C56D" w14:textId="77777777" w:rsidR="00406EFB" w:rsidRPr="00EA619F" w:rsidRDefault="00D52484">
      <w:pPr>
        <w:rPr>
          <w:lang w:val="nb-NO"/>
        </w:rPr>
      </w:pPr>
      <w:r w:rsidRPr="00EA619F">
        <w:rPr>
          <w:lang w:val="nb-NO"/>
        </w:rPr>
        <w:t xml:space="preserve">sigma_annual = sigma_månedlig × </w:t>
      </w:r>
      <w:proofErr w:type="gramStart"/>
      <w:r w:rsidRPr="00EA619F">
        <w:rPr>
          <w:lang w:val="nb-NO"/>
        </w:rPr>
        <w:t>sqrt(</w:t>
      </w:r>
      <w:proofErr w:type="gramEnd"/>
      <w:r w:rsidRPr="00EA619F">
        <w:rPr>
          <w:lang w:val="nb-NO"/>
        </w:rPr>
        <w:t>12)</w:t>
      </w:r>
    </w:p>
    <w:p w14:paraId="67A7D5B7" w14:textId="77777777" w:rsidR="00406EFB" w:rsidRPr="00EA619F" w:rsidRDefault="00D52484">
      <w:pPr>
        <w:rPr>
          <w:lang w:val="nb-NO"/>
        </w:rPr>
      </w:pPr>
      <w:r w:rsidRPr="00EA619F">
        <w:rPr>
          <w:lang w:val="nb-NO"/>
        </w:rPr>
        <w:t>eller ved daglige data:</w:t>
      </w:r>
    </w:p>
    <w:p w14:paraId="2CBEB5A2" w14:textId="77777777" w:rsidR="00406EFB" w:rsidRPr="00EA619F" w:rsidRDefault="00D52484">
      <w:pPr>
        <w:rPr>
          <w:lang w:val="nb-NO"/>
        </w:rPr>
      </w:pPr>
      <w:r w:rsidRPr="00EA619F">
        <w:rPr>
          <w:lang w:val="nb-NO"/>
        </w:rPr>
        <w:t xml:space="preserve">sigma_annual = sigma_daglig × </w:t>
      </w:r>
      <w:proofErr w:type="gramStart"/>
      <w:r w:rsidRPr="00EA619F">
        <w:rPr>
          <w:lang w:val="nb-NO"/>
        </w:rPr>
        <w:t>sqrt(</w:t>
      </w:r>
      <w:proofErr w:type="gramEnd"/>
      <w:r w:rsidRPr="00EA619F">
        <w:rPr>
          <w:lang w:val="nb-NO"/>
        </w:rPr>
        <w:t>252)</w:t>
      </w:r>
    </w:p>
    <w:p w14:paraId="2B4ACDC3" w14:textId="77777777" w:rsidR="00406EFB" w:rsidRPr="00EA619F" w:rsidRDefault="00D52484">
      <w:pPr>
        <w:rPr>
          <w:lang w:val="nb-NO"/>
        </w:rPr>
      </w:pPr>
      <w:r w:rsidRPr="00EA619F">
        <w:rPr>
          <w:lang w:val="nb-NO"/>
        </w:rPr>
        <w:t>Dette er den operative definisjonen figuren bygger på, selv om institusjonene kommer fram til estimatene gjennom ulike modellrammeverk.</w:t>
      </w:r>
    </w:p>
    <w:p w14:paraId="6FC4775F" w14:textId="77777777" w:rsidR="00406EFB" w:rsidRPr="00EA619F" w:rsidRDefault="00D52484">
      <w:pPr>
        <w:rPr>
          <w:lang w:val="nb-NO"/>
        </w:rPr>
      </w:pPr>
      <w:r w:rsidRPr="00EA619F">
        <w:rPr>
          <w:lang w:val="nb-NO"/>
        </w:rPr>
        <w:t>I figuren er “risiko” uttrykt som årlig standardavvik (volatilitet). Det er en praktisk og svært vanlig bransjemåte å vise risiko på, men leverandørene kommer dit på litt ulik måte.</w:t>
      </w:r>
    </w:p>
    <w:tbl>
      <w:tblPr>
        <w:tblStyle w:val="Tabellrutenett"/>
        <w:tblW w:w="0" w:type="auto"/>
        <w:jc w:val="center"/>
        <w:tblLook w:val="04A0" w:firstRow="1" w:lastRow="0" w:firstColumn="1" w:lastColumn="0" w:noHBand="0" w:noVBand="1"/>
      </w:tblPr>
      <w:tblGrid>
        <w:gridCol w:w="3249"/>
        <w:gridCol w:w="3249"/>
        <w:gridCol w:w="3249"/>
      </w:tblGrid>
      <w:tr w:rsidR="00406EFB" w14:paraId="7ABFC6A4" w14:textId="77777777">
        <w:trPr>
          <w:jc w:val="center"/>
        </w:trPr>
        <w:tc>
          <w:tcPr>
            <w:tcW w:w="3249" w:type="dxa"/>
            <w:shd w:val="clear" w:color="auto" w:fill="D9EAF7"/>
            <w:tcMar>
              <w:top w:w="80" w:type="dxa"/>
              <w:left w:w="100" w:type="dxa"/>
              <w:bottom w:w="80" w:type="dxa"/>
              <w:right w:w="100" w:type="dxa"/>
            </w:tcMar>
          </w:tcPr>
          <w:p w14:paraId="5F2466EE" w14:textId="77777777" w:rsidR="00406EFB" w:rsidRDefault="00D52484">
            <w:r>
              <w:rPr>
                <w:b/>
              </w:rPr>
              <w:t>Kilde</w:t>
            </w:r>
          </w:p>
        </w:tc>
        <w:tc>
          <w:tcPr>
            <w:tcW w:w="3249" w:type="dxa"/>
            <w:shd w:val="clear" w:color="auto" w:fill="D9EAF7"/>
            <w:tcMar>
              <w:top w:w="80" w:type="dxa"/>
              <w:left w:w="100" w:type="dxa"/>
              <w:bottom w:w="80" w:type="dxa"/>
              <w:right w:w="100" w:type="dxa"/>
            </w:tcMar>
          </w:tcPr>
          <w:p w14:paraId="128D9633" w14:textId="77777777" w:rsidR="00406EFB" w:rsidRDefault="00D52484">
            <w:r>
              <w:rPr>
                <w:b/>
              </w:rPr>
              <w:t>Metode for volatilitet</w:t>
            </w:r>
          </w:p>
        </w:tc>
        <w:tc>
          <w:tcPr>
            <w:tcW w:w="3249" w:type="dxa"/>
            <w:shd w:val="clear" w:color="auto" w:fill="D9EAF7"/>
            <w:tcMar>
              <w:top w:w="80" w:type="dxa"/>
              <w:left w:w="100" w:type="dxa"/>
              <w:bottom w:w="80" w:type="dxa"/>
              <w:right w:w="100" w:type="dxa"/>
            </w:tcMar>
          </w:tcPr>
          <w:p w14:paraId="5CC7DEEB" w14:textId="77777777" w:rsidR="00406EFB" w:rsidRDefault="00D52484">
            <w:r>
              <w:rPr>
                <w:b/>
              </w:rPr>
              <w:t>Praktisk implikasjon for figuren</w:t>
            </w:r>
          </w:p>
        </w:tc>
      </w:tr>
      <w:tr w:rsidR="00406EFB" w:rsidRPr="00E0474B" w14:paraId="60BCE9CC" w14:textId="77777777">
        <w:trPr>
          <w:jc w:val="center"/>
        </w:trPr>
        <w:tc>
          <w:tcPr>
            <w:tcW w:w="3249" w:type="dxa"/>
            <w:tcMar>
              <w:top w:w="80" w:type="dxa"/>
              <w:left w:w="100" w:type="dxa"/>
              <w:bottom w:w="80" w:type="dxa"/>
              <w:right w:w="100" w:type="dxa"/>
            </w:tcMar>
            <w:vAlign w:val="center"/>
          </w:tcPr>
          <w:p w14:paraId="2A3489A6" w14:textId="77777777" w:rsidR="00406EFB" w:rsidRDefault="00D52484">
            <w:r>
              <w:t>BlackRock</w:t>
            </w:r>
          </w:p>
        </w:tc>
        <w:tc>
          <w:tcPr>
            <w:tcW w:w="3249" w:type="dxa"/>
            <w:tcMar>
              <w:top w:w="80" w:type="dxa"/>
              <w:left w:w="100" w:type="dxa"/>
              <w:bottom w:w="80" w:type="dxa"/>
              <w:right w:w="100" w:type="dxa"/>
            </w:tcMar>
            <w:vAlign w:val="center"/>
          </w:tcPr>
          <w:p w14:paraId="3C9179C0" w14:textId="77777777" w:rsidR="00406EFB" w:rsidRPr="00EA619F" w:rsidRDefault="00D52484">
            <w:pPr>
              <w:rPr>
                <w:lang w:val="nb-NO"/>
              </w:rPr>
            </w:pPr>
            <w:r w:rsidRPr="00EA619F">
              <w:rPr>
                <w:lang w:val="nb-NO"/>
              </w:rPr>
              <w:t>Stokastisk motor med Monte Carlo-simulering og BlackRocks risikomodeller for samvariasjon. BlackRock skiller også mellom usikkerhet om middelverdien og risiko rundt middelverdien.</w:t>
            </w:r>
          </w:p>
        </w:tc>
        <w:tc>
          <w:tcPr>
            <w:tcW w:w="3249" w:type="dxa"/>
            <w:tcMar>
              <w:top w:w="80" w:type="dxa"/>
              <w:left w:w="100" w:type="dxa"/>
              <w:bottom w:w="80" w:type="dxa"/>
              <w:right w:w="100" w:type="dxa"/>
            </w:tcMar>
            <w:vAlign w:val="center"/>
          </w:tcPr>
          <w:p w14:paraId="33F8896D" w14:textId="77777777" w:rsidR="00406EFB" w:rsidRPr="00EA619F" w:rsidRDefault="00D52484">
            <w:pPr>
              <w:rPr>
                <w:lang w:val="nb-NO"/>
              </w:rPr>
            </w:pPr>
            <w:r w:rsidRPr="00EA619F">
              <w:rPr>
                <w:lang w:val="nb-NO"/>
              </w:rPr>
              <w:t>Egnet som kilde for konsistente volatiliteter og korrelasjoner på tvers av aktivaklasser.</w:t>
            </w:r>
          </w:p>
        </w:tc>
      </w:tr>
      <w:tr w:rsidR="00406EFB" w:rsidRPr="00E0474B" w14:paraId="39B977BD" w14:textId="77777777">
        <w:trPr>
          <w:jc w:val="center"/>
        </w:trPr>
        <w:tc>
          <w:tcPr>
            <w:tcW w:w="3249" w:type="dxa"/>
            <w:tcMar>
              <w:top w:w="80" w:type="dxa"/>
              <w:left w:w="100" w:type="dxa"/>
              <w:bottom w:w="80" w:type="dxa"/>
              <w:right w:w="100" w:type="dxa"/>
            </w:tcMar>
            <w:vAlign w:val="center"/>
          </w:tcPr>
          <w:p w14:paraId="4A6210B9" w14:textId="77777777" w:rsidR="00406EFB" w:rsidRDefault="00D52484">
            <w:r>
              <w:t>Vanguard</w:t>
            </w:r>
          </w:p>
        </w:tc>
        <w:tc>
          <w:tcPr>
            <w:tcW w:w="3249" w:type="dxa"/>
            <w:tcMar>
              <w:top w:w="80" w:type="dxa"/>
              <w:left w:w="100" w:type="dxa"/>
              <w:bottom w:w="80" w:type="dxa"/>
              <w:right w:w="100" w:type="dxa"/>
            </w:tcMar>
            <w:vAlign w:val="center"/>
          </w:tcPr>
          <w:p w14:paraId="2F286C57" w14:textId="77777777" w:rsidR="00406EFB" w:rsidRPr="00EA619F" w:rsidRDefault="00D52484">
            <w:pPr>
              <w:rPr>
                <w:lang w:val="nb-NO"/>
              </w:rPr>
            </w:pPr>
            <w:r w:rsidRPr="00EA619F">
              <w:rPr>
                <w:lang w:val="nb-NO"/>
              </w:rPr>
              <w:t xml:space="preserve">VCMM </w:t>
            </w:r>
            <w:proofErr w:type="gramStart"/>
            <w:r w:rsidRPr="00EA619F">
              <w:rPr>
                <w:lang w:val="nb-NO"/>
              </w:rPr>
              <w:t>genererer</w:t>
            </w:r>
            <w:proofErr w:type="gramEnd"/>
            <w:r w:rsidRPr="00EA619F">
              <w:rPr>
                <w:lang w:val="nb-NO"/>
              </w:rPr>
              <w:t xml:space="preserve"> ikke bare forventet avkastning, men hele fordelinger for avkastning, volatilitet og korrelasjoner. Modellen lar fat tails og skjevhet påvirke fordelingene i stedet for å tvinge normalfordeling.</w:t>
            </w:r>
          </w:p>
        </w:tc>
        <w:tc>
          <w:tcPr>
            <w:tcW w:w="3249" w:type="dxa"/>
            <w:tcMar>
              <w:top w:w="80" w:type="dxa"/>
              <w:left w:w="100" w:type="dxa"/>
              <w:bottom w:w="80" w:type="dxa"/>
              <w:right w:w="100" w:type="dxa"/>
            </w:tcMar>
            <w:vAlign w:val="center"/>
          </w:tcPr>
          <w:p w14:paraId="3CD104FF" w14:textId="77777777" w:rsidR="00406EFB" w:rsidRPr="00EA619F" w:rsidRDefault="00D52484">
            <w:pPr>
              <w:rPr>
                <w:lang w:val="nb-NO"/>
              </w:rPr>
            </w:pPr>
            <w:r w:rsidRPr="00EA619F">
              <w:rPr>
                <w:lang w:val="nb-NO"/>
              </w:rPr>
              <w:t>Passer godt når man vil bruke ett konsistent rammeverk til porteføljesimulering og downside-analyse.</w:t>
            </w:r>
          </w:p>
        </w:tc>
      </w:tr>
      <w:tr w:rsidR="00406EFB" w:rsidRPr="00E0474B" w14:paraId="3A878792" w14:textId="77777777">
        <w:trPr>
          <w:jc w:val="center"/>
        </w:trPr>
        <w:tc>
          <w:tcPr>
            <w:tcW w:w="3249" w:type="dxa"/>
            <w:tcMar>
              <w:top w:w="80" w:type="dxa"/>
              <w:left w:w="100" w:type="dxa"/>
              <w:bottom w:w="80" w:type="dxa"/>
              <w:right w:w="100" w:type="dxa"/>
            </w:tcMar>
            <w:vAlign w:val="center"/>
          </w:tcPr>
          <w:p w14:paraId="1B3363FB" w14:textId="77777777" w:rsidR="00406EFB" w:rsidRDefault="00D52484">
            <w:r>
              <w:t>J.P. Morgan AM</w:t>
            </w:r>
          </w:p>
        </w:tc>
        <w:tc>
          <w:tcPr>
            <w:tcW w:w="3249" w:type="dxa"/>
            <w:tcMar>
              <w:top w:w="80" w:type="dxa"/>
              <w:left w:w="100" w:type="dxa"/>
              <w:bottom w:w="80" w:type="dxa"/>
              <w:right w:w="100" w:type="dxa"/>
            </w:tcMar>
            <w:vAlign w:val="center"/>
          </w:tcPr>
          <w:p w14:paraId="1D8F5141" w14:textId="77777777" w:rsidR="00406EFB" w:rsidRPr="00EA619F" w:rsidRDefault="00D52484">
            <w:pPr>
              <w:rPr>
                <w:lang w:val="nb-NO"/>
              </w:rPr>
            </w:pPr>
            <w:r w:rsidRPr="00EA619F">
              <w:rPr>
                <w:lang w:val="nb-NO"/>
              </w:rPr>
              <w:t>LTCMA publiserer eksplisitte antagelser for volatilitet og korrelasjon. De understreker høyere inflasjons- og rentevolatilitet enn i post-GFC-perioden, og bruker usmoothede volatilitetsmål i private markeder.</w:t>
            </w:r>
          </w:p>
        </w:tc>
        <w:tc>
          <w:tcPr>
            <w:tcW w:w="3249" w:type="dxa"/>
            <w:tcMar>
              <w:top w:w="80" w:type="dxa"/>
              <w:left w:w="100" w:type="dxa"/>
              <w:bottom w:w="80" w:type="dxa"/>
              <w:right w:w="100" w:type="dxa"/>
            </w:tcMar>
            <w:vAlign w:val="center"/>
          </w:tcPr>
          <w:p w14:paraId="1E2CDF84" w14:textId="77777777" w:rsidR="00406EFB" w:rsidRPr="00EA619F" w:rsidRDefault="00D52484">
            <w:pPr>
              <w:rPr>
                <w:lang w:val="nb-NO"/>
              </w:rPr>
            </w:pPr>
            <w:r w:rsidRPr="00EA619F">
              <w:rPr>
                <w:lang w:val="nb-NO"/>
              </w:rPr>
              <w:t>God kilde for “policy level” standardavvik og korrelasjoner over 10–15 år, særlig når private markeder inngår.</w:t>
            </w:r>
          </w:p>
        </w:tc>
      </w:tr>
    </w:tbl>
    <w:p w14:paraId="7C68C3DA" w14:textId="77777777" w:rsidR="00406EFB" w:rsidRPr="00EA619F" w:rsidRDefault="00D52484">
      <w:pPr>
        <w:pStyle w:val="Overskrift1"/>
        <w:rPr>
          <w:lang w:val="nb-NO"/>
        </w:rPr>
      </w:pPr>
      <w:r w:rsidRPr="00EA619F">
        <w:rPr>
          <w:lang w:val="nb-NO"/>
        </w:rPr>
        <w:t>5. Hvordan tallene i figuren ble satt opp</w:t>
      </w:r>
    </w:p>
    <w:p w14:paraId="5A2E7DE7" w14:textId="77777777" w:rsidR="00406EFB" w:rsidRPr="00EA619F" w:rsidRDefault="00D52484">
      <w:pPr>
        <w:rPr>
          <w:lang w:val="nb-NO"/>
        </w:rPr>
      </w:pPr>
      <w:r w:rsidRPr="00EA619F">
        <w:rPr>
          <w:lang w:val="nb-NO"/>
        </w:rPr>
        <w:t>Tallene i figuren bør leses som en illustrativ institusjonell konsensus, ikke som et sitat fra én bestemt rapport. Praktisk fremgangsmåte:</w:t>
      </w:r>
    </w:p>
    <w:p w14:paraId="44A0DC90" w14:textId="77777777" w:rsidR="00406EFB" w:rsidRPr="00EA619F" w:rsidRDefault="00D52484">
      <w:pPr>
        <w:rPr>
          <w:lang w:val="nb-NO"/>
        </w:rPr>
      </w:pPr>
      <w:r w:rsidRPr="00EA619F">
        <w:rPr>
          <w:b/>
          <w:sz w:val="18"/>
          <w:lang w:val="nb-NO"/>
        </w:rPr>
        <w:t>Tabell 2. Illustrativ CMA-tabell brukt i figuren (risikofri rente = 4,50 %).</w:t>
      </w:r>
    </w:p>
    <w:tbl>
      <w:tblPr>
        <w:tblStyle w:val="Tabellrutenett"/>
        <w:tblW w:w="0" w:type="auto"/>
        <w:jc w:val="center"/>
        <w:tblLook w:val="04A0" w:firstRow="1" w:lastRow="0" w:firstColumn="1" w:lastColumn="0" w:noHBand="0" w:noVBand="1"/>
      </w:tblPr>
      <w:tblGrid>
        <w:gridCol w:w="2376"/>
        <w:gridCol w:w="1512"/>
        <w:gridCol w:w="1152"/>
        <w:gridCol w:w="4032"/>
      </w:tblGrid>
      <w:tr w:rsidR="00406EFB" w14:paraId="3AD7DDEC" w14:textId="77777777">
        <w:trPr>
          <w:jc w:val="center"/>
        </w:trPr>
        <w:tc>
          <w:tcPr>
            <w:tcW w:w="2376" w:type="dxa"/>
            <w:shd w:val="clear" w:color="auto" w:fill="D9EAF7"/>
            <w:vAlign w:val="center"/>
          </w:tcPr>
          <w:p w14:paraId="6A3A4B63" w14:textId="77777777" w:rsidR="00406EFB" w:rsidRDefault="00D52484">
            <w:r>
              <w:rPr>
                <w:b/>
                <w:sz w:val="17"/>
              </w:rPr>
              <w:t>Aktivaklasse</w:t>
            </w:r>
          </w:p>
        </w:tc>
        <w:tc>
          <w:tcPr>
            <w:tcW w:w="1512" w:type="dxa"/>
            <w:shd w:val="clear" w:color="auto" w:fill="D9EAF7"/>
            <w:vAlign w:val="center"/>
          </w:tcPr>
          <w:p w14:paraId="596B1551" w14:textId="77777777" w:rsidR="00406EFB" w:rsidRDefault="00D52484">
            <w:r>
              <w:rPr>
                <w:b/>
                <w:sz w:val="17"/>
              </w:rPr>
              <w:t>Forventet avkastning</w:t>
            </w:r>
          </w:p>
        </w:tc>
        <w:tc>
          <w:tcPr>
            <w:tcW w:w="1152" w:type="dxa"/>
            <w:shd w:val="clear" w:color="auto" w:fill="D9EAF7"/>
            <w:vAlign w:val="center"/>
          </w:tcPr>
          <w:p w14:paraId="7C1DA408" w14:textId="77777777" w:rsidR="00406EFB" w:rsidRDefault="00D52484">
            <w:r>
              <w:rPr>
                <w:b/>
                <w:sz w:val="17"/>
              </w:rPr>
              <w:t>Volatilitet</w:t>
            </w:r>
          </w:p>
        </w:tc>
        <w:tc>
          <w:tcPr>
            <w:tcW w:w="4032" w:type="dxa"/>
            <w:shd w:val="clear" w:color="auto" w:fill="D9EAF7"/>
            <w:vAlign w:val="center"/>
          </w:tcPr>
          <w:p w14:paraId="182ABE6B" w14:textId="77777777" w:rsidR="00406EFB" w:rsidRDefault="00D52484">
            <w:r>
              <w:rPr>
                <w:b/>
                <w:sz w:val="17"/>
              </w:rPr>
              <w:t>Kommentar</w:t>
            </w:r>
          </w:p>
        </w:tc>
      </w:tr>
      <w:tr w:rsidR="00406EFB" w14:paraId="0E526AF9" w14:textId="77777777">
        <w:trPr>
          <w:jc w:val="center"/>
        </w:trPr>
        <w:tc>
          <w:tcPr>
            <w:tcW w:w="2376" w:type="dxa"/>
            <w:vAlign w:val="center"/>
          </w:tcPr>
          <w:p w14:paraId="0669726A" w14:textId="77777777" w:rsidR="00406EFB" w:rsidRDefault="00D52484">
            <w:r>
              <w:rPr>
                <w:sz w:val="17"/>
              </w:rPr>
              <w:t>Kontanter / pengemarked</w:t>
            </w:r>
          </w:p>
        </w:tc>
        <w:tc>
          <w:tcPr>
            <w:tcW w:w="1512" w:type="dxa"/>
            <w:vAlign w:val="center"/>
          </w:tcPr>
          <w:p w14:paraId="16571185" w14:textId="77777777" w:rsidR="00406EFB" w:rsidRDefault="00D52484">
            <w:r>
              <w:rPr>
                <w:sz w:val="17"/>
              </w:rPr>
              <w:t>4,50 %</w:t>
            </w:r>
          </w:p>
        </w:tc>
        <w:tc>
          <w:tcPr>
            <w:tcW w:w="1152" w:type="dxa"/>
            <w:vAlign w:val="center"/>
          </w:tcPr>
          <w:p w14:paraId="2547D9F5" w14:textId="77777777" w:rsidR="00406EFB" w:rsidRDefault="00D52484">
            <w:r>
              <w:rPr>
                <w:sz w:val="17"/>
              </w:rPr>
              <w:t>1 %</w:t>
            </w:r>
          </w:p>
        </w:tc>
        <w:tc>
          <w:tcPr>
            <w:tcW w:w="4032" w:type="dxa"/>
            <w:vAlign w:val="center"/>
          </w:tcPr>
          <w:p w14:paraId="50816026" w14:textId="77777777" w:rsidR="00406EFB" w:rsidRDefault="00D52484">
            <w:r>
              <w:rPr>
                <w:sz w:val="17"/>
              </w:rPr>
              <w:t>Risikofri rente / kort rente</w:t>
            </w:r>
          </w:p>
        </w:tc>
      </w:tr>
      <w:tr w:rsidR="00406EFB" w14:paraId="2A446E9A" w14:textId="77777777">
        <w:trPr>
          <w:jc w:val="center"/>
        </w:trPr>
        <w:tc>
          <w:tcPr>
            <w:tcW w:w="2376" w:type="dxa"/>
            <w:vAlign w:val="center"/>
          </w:tcPr>
          <w:p w14:paraId="0ADE8BC8" w14:textId="77777777" w:rsidR="00406EFB" w:rsidRDefault="00D52484">
            <w:r>
              <w:rPr>
                <w:sz w:val="17"/>
              </w:rPr>
              <w:t>Statsobligasjoner</w:t>
            </w:r>
          </w:p>
        </w:tc>
        <w:tc>
          <w:tcPr>
            <w:tcW w:w="1512" w:type="dxa"/>
            <w:vAlign w:val="center"/>
          </w:tcPr>
          <w:p w14:paraId="16A52969" w14:textId="77777777" w:rsidR="00406EFB" w:rsidRDefault="00D52484">
            <w:r>
              <w:rPr>
                <w:sz w:val="17"/>
              </w:rPr>
              <w:t>5,30 %</w:t>
            </w:r>
          </w:p>
        </w:tc>
        <w:tc>
          <w:tcPr>
            <w:tcW w:w="1152" w:type="dxa"/>
            <w:vAlign w:val="center"/>
          </w:tcPr>
          <w:p w14:paraId="59326BFF" w14:textId="77777777" w:rsidR="00406EFB" w:rsidRDefault="00D52484">
            <w:r>
              <w:rPr>
                <w:sz w:val="17"/>
              </w:rPr>
              <w:t>6 %</w:t>
            </w:r>
          </w:p>
        </w:tc>
        <w:tc>
          <w:tcPr>
            <w:tcW w:w="4032" w:type="dxa"/>
            <w:vAlign w:val="center"/>
          </w:tcPr>
          <w:p w14:paraId="7E660115" w14:textId="77777777" w:rsidR="00406EFB" w:rsidRDefault="00D52484">
            <w:r>
              <w:rPr>
                <w:sz w:val="17"/>
              </w:rPr>
              <w:t>Renteeksponering og durasjon</w:t>
            </w:r>
          </w:p>
        </w:tc>
      </w:tr>
      <w:tr w:rsidR="00406EFB" w14:paraId="7B69C6F9" w14:textId="77777777">
        <w:trPr>
          <w:jc w:val="center"/>
        </w:trPr>
        <w:tc>
          <w:tcPr>
            <w:tcW w:w="2376" w:type="dxa"/>
            <w:vAlign w:val="center"/>
          </w:tcPr>
          <w:p w14:paraId="1E53DA0C" w14:textId="77777777" w:rsidR="00406EFB" w:rsidRDefault="00D52484">
            <w:r>
              <w:rPr>
                <w:sz w:val="17"/>
              </w:rPr>
              <w:t>Investment grade kreditt</w:t>
            </w:r>
          </w:p>
        </w:tc>
        <w:tc>
          <w:tcPr>
            <w:tcW w:w="1512" w:type="dxa"/>
            <w:vAlign w:val="center"/>
          </w:tcPr>
          <w:p w14:paraId="11E0B882" w14:textId="77777777" w:rsidR="00406EFB" w:rsidRDefault="00D52484">
            <w:r>
              <w:rPr>
                <w:sz w:val="17"/>
              </w:rPr>
              <w:t>6,30 %</w:t>
            </w:r>
          </w:p>
        </w:tc>
        <w:tc>
          <w:tcPr>
            <w:tcW w:w="1152" w:type="dxa"/>
            <w:vAlign w:val="center"/>
          </w:tcPr>
          <w:p w14:paraId="751304E7" w14:textId="77777777" w:rsidR="00406EFB" w:rsidRDefault="00D52484">
            <w:r>
              <w:rPr>
                <w:sz w:val="17"/>
              </w:rPr>
              <w:t>7 %</w:t>
            </w:r>
          </w:p>
        </w:tc>
        <w:tc>
          <w:tcPr>
            <w:tcW w:w="4032" w:type="dxa"/>
            <w:vAlign w:val="center"/>
          </w:tcPr>
          <w:p w14:paraId="75AFFC2A" w14:textId="77777777" w:rsidR="00406EFB" w:rsidRDefault="00D52484">
            <w:r>
              <w:rPr>
                <w:sz w:val="17"/>
              </w:rPr>
              <w:t>Rente + kredittspread</w:t>
            </w:r>
          </w:p>
        </w:tc>
      </w:tr>
      <w:tr w:rsidR="00406EFB" w14:paraId="12D2BD68" w14:textId="77777777">
        <w:trPr>
          <w:jc w:val="center"/>
        </w:trPr>
        <w:tc>
          <w:tcPr>
            <w:tcW w:w="2376" w:type="dxa"/>
            <w:vAlign w:val="center"/>
          </w:tcPr>
          <w:p w14:paraId="24033811" w14:textId="77777777" w:rsidR="00406EFB" w:rsidRDefault="00D52484">
            <w:r>
              <w:rPr>
                <w:sz w:val="17"/>
              </w:rPr>
              <w:t>High yield global</w:t>
            </w:r>
          </w:p>
        </w:tc>
        <w:tc>
          <w:tcPr>
            <w:tcW w:w="1512" w:type="dxa"/>
            <w:vAlign w:val="center"/>
          </w:tcPr>
          <w:p w14:paraId="2A8AB686" w14:textId="77777777" w:rsidR="00406EFB" w:rsidRDefault="00D52484">
            <w:r>
              <w:rPr>
                <w:sz w:val="17"/>
              </w:rPr>
              <w:t>7,70 %</w:t>
            </w:r>
          </w:p>
        </w:tc>
        <w:tc>
          <w:tcPr>
            <w:tcW w:w="1152" w:type="dxa"/>
            <w:vAlign w:val="center"/>
          </w:tcPr>
          <w:p w14:paraId="2688FE0F" w14:textId="77777777" w:rsidR="00406EFB" w:rsidRDefault="00D52484">
            <w:r>
              <w:rPr>
                <w:sz w:val="17"/>
              </w:rPr>
              <w:t>10 %</w:t>
            </w:r>
          </w:p>
        </w:tc>
        <w:tc>
          <w:tcPr>
            <w:tcW w:w="4032" w:type="dxa"/>
            <w:vAlign w:val="center"/>
          </w:tcPr>
          <w:p w14:paraId="708754F2" w14:textId="77777777" w:rsidR="00406EFB" w:rsidRDefault="00D52484">
            <w:r>
              <w:rPr>
                <w:sz w:val="17"/>
              </w:rPr>
              <w:t>Høyere kredittrisiko</w:t>
            </w:r>
          </w:p>
        </w:tc>
      </w:tr>
      <w:tr w:rsidR="00406EFB" w14:paraId="46B9E128" w14:textId="77777777">
        <w:trPr>
          <w:jc w:val="center"/>
        </w:trPr>
        <w:tc>
          <w:tcPr>
            <w:tcW w:w="2376" w:type="dxa"/>
            <w:vAlign w:val="center"/>
          </w:tcPr>
          <w:p w14:paraId="39B8EB11" w14:textId="77777777" w:rsidR="00406EFB" w:rsidRDefault="00D52484">
            <w:r>
              <w:rPr>
                <w:sz w:val="17"/>
              </w:rPr>
              <w:t>Nordisk high yield</w:t>
            </w:r>
          </w:p>
        </w:tc>
        <w:tc>
          <w:tcPr>
            <w:tcW w:w="1512" w:type="dxa"/>
            <w:vAlign w:val="center"/>
          </w:tcPr>
          <w:p w14:paraId="061EAC11" w14:textId="77777777" w:rsidR="00406EFB" w:rsidRDefault="00D52484">
            <w:r>
              <w:rPr>
                <w:sz w:val="17"/>
              </w:rPr>
              <w:t>8,00 %</w:t>
            </w:r>
          </w:p>
        </w:tc>
        <w:tc>
          <w:tcPr>
            <w:tcW w:w="1152" w:type="dxa"/>
            <w:vAlign w:val="center"/>
          </w:tcPr>
          <w:p w14:paraId="61BBC730" w14:textId="77777777" w:rsidR="00406EFB" w:rsidRDefault="00D52484">
            <w:r>
              <w:rPr>
                <w:sz w:val="17"/>
              </w:rPr>
              <w:t>12 %</w:t>
            </w:r>
          </w:p>
        </w:tc>
        <w:tc>
          <w:tcPr>
            <w:tcW w:w="4032" w:type="dxa"/>
            <w:vAlign w:val="center"/>
          </w:tcPr>
          <w:p w14:paraId="7BD5736C" w14:textId="77777777" w:rsidR="00406EFB" w:rsidRDefault="00D52484">
            <w:r>
              <w:rPr>
                <w:sz w:val="17"/>
              </w:rPr>
              <w:t>Nordisk spread- og illikviditetspremie</w:t>
            </w:r>
          </w:p>
        </w:tc>
      </w:tr>
      <w:tr w:rsidR="00406EFB" w14:paraId="0DCDF8A3" w14:textId="77777777">
        <w:trPr>
          <w:jc w:val="center"/>
        </w:trPr>
        <w:tc>
          <w:tcPr>
            <w:tcW w:w="2376" w:type="dxa"/>
            <w:vAlign w:val="center"/>
          </w:tcPr>
          <w:p w14:paraId="63FF9D29" w14:textId="77777777" w:rsidR="00406EFB" w:rsidRDefault="00D52484">
            <w:r>
              <w:rPr>
                <w:sz w:val="17"/>
              </w:rPr>
              <w:t>Globale aksjer</w:t>
            </w:r>
          </w:p>
        </w:tc>
        <w:tc>
          <w:tcPr>
            <w:tcW w:w="1512" w:type="dxa"/>
            <w:vAlign w:val="center"/>
          </w:tcPr>
          <w:p w14:paraId="603D21BB" w14:textId="77777777" w:rsidR="00406EFB" w:rsidRDefault="00D52484">
            <w:r>
              <w:rPr>
                <w:sz w:val="17"/>
              </w:rPr>
              <w:t>8,50 %</w:t>
            </w:r>
          </w:p>
        </w:tc>
        <w:tc>
          <w:tcPr>
            <w:tcW w:w="1152" w:type="dxa"/>
            <w:vAlign w:val="center"/>
          </w:tcPr>
          <w:p w14:paraId="2443FC18" w14:textId="77777777" w:rsidR="00406EFB" w:rsidRDefault="00D52484">
            <w:r>
              <w:rPr>
                <w:sz w:val="17"/>
              </w:rPr>
              <w:t>16 %</w:t>
            </w:r>
          </w:p>
        </w:tc>
        <w:tc>
          <w:tcPr>
            <w:tcW w:w="4032" w:type="dxa"/>
            <w:vAlign w:val="center"/>
          </w:tcPr>
          <w:p w14:paraId="5F2AF38B" w14:textId="77777777" w:rsidR="00406EFB" w:rsidRDefault="00D52484">
            <w:r>
              <w:rPr>
                <w:sz w:val="17"/>
              </w:rPr>
              <w:t>Global DM-aksjeeksponering</w:t>
            </w:r>
          </w:p>
        </w:tc>
      </w:tr>
      <w:tr w:rsidR="00406EFB" w:rsidRPr="00E0474B" w14:paraId="6D3ABD81" w14:textId="77777777">
        <w:trPr>
          <w:jc w:val="center"/>
        </w:trPr>
        <w:tc>
          <w:tcPr>
            <w:tcW w:w="2376" w:type="dxa"/>
            <w:vAlign w:val="center"/>
          </w:tcPr>
          <w:p w14:paraId="31C8303A" w14:textId="77777777" w:rsidR="00406EFB" w:rsidRDefault="00D52484">
            <w:r>
              <w:rPr>
                <w:sz w:val="17"/>
              </w:rPr>
              <w:t>Nordiske aksjer</w:t>
            </w:r>
          </w:p>
        </w:tc>
        <w:tc>
          <w:tcPr>
            <w:tcW w:w="1512" w:type="dxa"/>
            <w:vAlign w:val="center"/>
          </w:tcPr>
          <w:p w14:paraId="67EEDE96" w14:textId="77777777" w:rsidR="00406EFB" w:rsidRDefault="00D52484">
            <w:r>
              <w:rPr>
                <w:sz w:val="17"/>
              </w:rPr>
              <w:t>9,00 %</w:t>
            </w:r>
          </w:p>
        </w:tc>
        <w:tc>
          <w:tcPr>
            <w:tcW w:w="1152" w:type="dxa"/>
            <w:vAlign w:val="center"/>
          </w:tcPr>
          <w:p w14:paraId="51DDFF33" w14:textId="77777777" w:rsidR="00406EFB" w:rsidRDefault="00D52484">
            <w:r>
              <w:rPr>
                <w:sz w:val="17"/>
              </w:rPr>
              <w:t>17 %</w:t>
            </w:r>
          </w:p>
        </w:tc>
        <w:tc>
          <w:tcPr>
            <w:tcW w:w="4032" w:type="dxa"/>
            <w:vAlign w:val="center"/>
          </w:tcPr>
          <w:p w14:paraId="4C943825" w14:textId="77777777" w:rsidR="00406EFB" w:rsidRPr="00EA619F" w:rsidRDefault="00D52484">
            <w:pPr>
              <w:rPr>
                <w:lang w:val="nb-NO"/>
              </w:rPr>
            </w:pPr>
            <w:r w:rsidRPr="00EA619F">
              <w:rPr>
                <w:sz w:val="17"/>
                <w:lang w:val="nb-NO"/>
              </w:rPr>
              <w:t>Regional overlay vs globale aksjer</w:t>
            </w:r>
          </w:p>
        </w:tc>
      </w:tr>
      <w:tr w:rsidR="00406EFB" w14:paraId="6CE4F5CB" w14:textId="77777777">
        <w:trPr>
          <w:jc w:val="center"/>
        </w:trPr>
        <w:tc>
          <w:tcPr>
            <w:tcW w:w="2376" w:type="dxa"/>
            <w:vAlign w:val="center"/>
          </w:tcPr>
          <w:p w14:paraId="0184E472" w14:textId="77777777" w:rsidR="00406EFB" w:rsidRDefault="00D52484">
            <w:r>
              <w:rPr>
                <w:sz w:val="17"/>
              </w:rPr>
              <w:t xml:space="preserve">EM </w:t>
            </w:r>
            <w:proofErr w:type="spellStart"/>
            <w:r>
              <w:rPr>
                <w:sz w:val="17"/>
              </w:rPr>
              <w:t>aksjer</w:t>
            </w:r>
            <w:proofErr w:type="spellEnd"/>
          </w:p>
        </w:tc>
        <w:tc>
          <w:tcPr>
            <w:tcW w:w="1512" w:type="dxa"/>
            <w:vAlign w:val="center"/>
          </w:tcPr>
          <w:p w14:paraId="623C9026" w14:textId="77777777" w:rsidR="00406EFB" w:rsidRDefault="00D52484">
            <w:r>
              <w:rPr>
                <w:sz w:val="17"/>
              </w:rPr>
              <w:t>9,40 %</w:t>
            </w:r>
          </w:p>
        </w:tc>
        <w:tc>
          <w:tcPr>
            <w:tcW w:w="1152" w:type="dxa"/>
            <w:vAlign w:val="center"/>
          </w:tcPr>
          <w:p w14:paraId="4872FE7D" w14:textId="77777777" w:rsidR="00406EFB" w:rsidRDefault="00D52484">
            <w:r>
              <w:rPr>
                <w:sz w:val="17"/>
              </w:rPr>
              <w:t>19 %</w:t>
            </w:r>
          </w:p>
        </w:tc>
        <w:tc>
          <w:tcPr>
            <w:tcW w:w="4032" w:type="dxa"/>
            <w:vAlign w:val="center"/>
          </w:tcPr>
          <w:p w14:paraId="7E99C9F0" w14:textId="77777777" w:rsidR="00406EFB" w:rsidRDefault="00D52484">
            <w:r>
              <w:rPr>
                <w:sz w:val="17"/>
              </w:rPr>
              <w:t>Høyere risikopremie og volatilitet</w:t>
            </w:r>
          </w:p>
        </w:tc>
      </w:tr>
      <w:tr w:rsidR="00406EFB" w14:paraId="6D713563" w14:textId="77777777">
        <w:trPr>
          <w:jc w:val="center"/>
        </w:trPr>
        <w:tc>
          <w:tcPr>
            <w:tcW w:w="2376" w:type="dxa"/>
            <w:vAlign w:val="center"/>
          </w:tcPr>
          <w:p w14:paraId="26B66575" w14:textId="77777777" w:rsidR="00406EFB" w:rsidRDefault="00D52484">
            <w:r>
              <w:rPr>
                <w:sz w:val="17"/>
              </w:rPr>
              <w:t>Norske aksjer</w:t>
            </w:r>
          </w:p>
        </w:tc>
        <w:tc>
          <w:tcPr>
            <w:tcW w:w="1512" w:type="dxa"/>
            <w:vAlign w:val="center"/>
          </w:tcPr>
          <w:p w14:paraId="3E5F04F5" w14:textId="77777777" w:rsidR="00406EFB" w:rsidRDefault="00D52484">
            <w:r>
              <w:rPr>
                <w:sz w:val="17"/>
              </w:rPr>
              <w:t>10,00 %</w:t>
            </w:r>
          </w:p>
        </w:tc>
        <w:tc>
          <w:tcPr>
            <w:tcW w:w="1152" w:type="dxa"/>
            <w:vAlign w:val="center"/>
          </w:tcPr>
          <w:p w14:paraId="5E4E0178" w14:textId="77777777" w:rsidR="00406EFB" w:rsidRDefault="00D52484">
            <w:r>
              <w:rPr>
                <w:sz w:val="17"/>
              </w:rPr>
              <w:t>19 %</w:t>
            </w:r>
          </w:p>
        </w:tc>
        <w:tc>
          <w:tcPr>
            <w:tcW w:w="4032" w:type="dxa"/>
            <w:vAlign w:val="center"/>
          </w:tcPr>
          <w:p w14:paraId="719B49F5" w14:textId="77777777" w:rsidR="00406EFB" w:rsidRDefault="00D52484">
            <w:r>
              <w:rPr>
                <w:sz w:val="17"/>
              </w:rPr>
              <w:t>Norsk overlay: råvarer/sektorkonsentrasjon</w:t>
            </w:r>
          </w:p>
        </w:tc>
      </w:tr>
      <w:tr w:rsidR="00406EFB" w14:paraId="7F6025C9" w14:textId="77777777">
        <w:trPr>
          <w:jc w:val="center"/>
        </w:trPr>
        <w:tc>
          <w:tcPr>
            <w:tcW w:w="2376" w:type="dxa"/>
            <w:vAlign w:val="center"/>
          </w:tcPr>
          <w:p w14:paraId="2B19FAB2" w14:textId="77777777" w:rsidR="00406EFB" w:rsidRDefault="00D52484">
            <w:r>
              <w:rPr>
                <w:sz w:val="17"/>
              </w:rPr>
              <w:t>Eiendom</w:t>
            </w:r>
          </w:p>
        </w:tc>
        <w:tc>
          <w:tcPr>
            <w:tcW w:w="1512" w:type="dxa"/>
            <w:vAlign w:val="center"/>
          </w:tcPr>
          <w:p w14:paraId="1EB34F84" w14:textId="77777777" w:rsidR="00406EFB" w:rsidRDefault="00D52484">
            <w:r>
              <w:rPr>
                <w:sz w:val="17"/>
              </w:rPr>
              <w:t>7,70 %</w:t>
            </w:r>
          </w:p>
        </w:tc>
        <w:tc>
          <w:tcPr>
            <w:tcW w:w="1152" w:type="dxa"/>
            <w:vAlign w:val="center"/>
          </w:tcPr>
          <w:p w14:paraId="5FFE2E0D" w14:textId="77777777" w:rsidR="00406EFB" w:rsidRDefault="00D52484">
            <w:r>
              <w:rPr>
                <w:sz w:val="17"/>
              </w:rPr>
              <w:t>11 %</w:t>
            </w:r>
          </w:p>
        </w:tc>
        <w:tc>
          <w:tcPr>
            <w:tcW w:w="4032" w:type="dxa"/>
            <w:vAlign w:val="center"/>
          </w:tcPr>
          <w:p w14:paraId="3539A448" w14:textId="77777777" w:rsidR="00406EFB" w:rsidRDefault="00D52484">
            <w:r>
              <w:rPr>
                <w:sz w:val="17"/>
              </w:rPr>
              <w:t>Realaktiva og løpende inntekter</w:t>
            </w:r>
          </w:p>
        </w:tc>
      </w:tr>
      <w:tr w:rsidR="00406EFB" w14:paraId="0B219DD6" w14:textId="77777777">
        <w:trPr>
          <w:jc w:val="center"/>
        </w:trPr>
        <w:tc>
          <w:tcPr>
            <w:tcW w:w="2376" w:type="dxa"/>
            <w:vAlign w:val="center"/>
          </w:tcPr>
          <w:p w14:paraId="269682BD" w14:textId="77777777" w:rsidR="00406EFB" w:rsidRDefault="00D52484">
            <w:r>
              <w:rPr>
                <w:sz w:val="17"/>
              </w:rPr>
              <w:t>Infrastruktur</w:t>
            </w:r>
          </w:p>
        </w:tc>
        <w:tc>
          <w:tcPr>
            <w:tcW w:w="1512" w:type="dxa"/>
            <w:vAlign w:val="center"/>
          </w:tcPr>
          <w:p w14:paraId="772243BB" w14:textId="77777777" w:rsidR="00406EFB" w:rsidRDefault="00D52484">
            <w:r>
              <w:rPr>
                <w:sz w:val="17"/>
              </w:rPr>
              <w:t>8,20 %</w:t>
            </w:r>
          </w:p>
        </w:tc>
        <w:tc>
          <w:tcPr>
            <w:tcW w:w="1152" w:type="dxa"/>
            <w:vAlign w:val="center"/>
          </w:tcPr>
          <w:p w14:paraId="788D4A2D" w14:textId="77777777" w:rsidR="00406EFB" w:rsidRDefault="00D52484">
            <w:r>
              <w:rPr>
                <w:sz w:val="17"/>
              </w:rPr>
              <w:t>10 %</w:t>
            </w:r>
          </w:p>
        </w:tc>
        <w:tc>
          <w:tcPr>
            <w:tcW w:w="4032" w:type="dxa"/>
            <w:vAlign w:val="center"/>
          </w:tcPr>
          <w:p w14:paraId="5F639A41" w14:textId="77777777" w:rsidR="00406EFB" w:rsidRDefault="00D52484">
            <w:r>
              <w:rPr>
                <w:sz w:val="17"/>
              </w:rPr>
              <w:t>Realaktiva/stabil kontantstrøm</w:t>
            </w:r>
          </w:p>
        </w:tc>
      </w:tr>
      <w:tr w:rsidR="00406EFB" w:rsidRPr="00E0474B" w14:paraId="19D87C06" w14:textId="77777777">
        <w:trPr>
          <w:jc w:val="center"/>
        </w:trPr>
        <w:tc>
          <w:tcPr>
            <w:tcW w:w="2376" w:type="dxa"/>
            <w:vAlign w:val="center"/>
          </w:tcPr>
          <w:p w14:paraId="23B0D5A3" w14:textId="77777777" w:rsidR="00406EFB" w:rsidRDefault="00D52484">
            <w:r>
              <w:rPr>
                <w:sz w:val="17"/>
              </w:rPr>
              <w:t>Private equity</w:t>
            </w:r>
          </w:p>
        </w:tc>
        <w:tc>
          <w:tcPr>
            <w:tcW w:w="1512" w:type="dxa"/>
            <w:vAlign w:val="center"/>
          </w:tcPr>
          <w:p w14:paraId="52009F36" w14:textId="77777777" w:rsidR="00406EFB" w:rsidRDefault="00D52484">
            <w:r>
              <w:rPr>
                <w:sz w:val="17"/>
              </w:rPr>
              <w:t>11,00 %</w:t>
            </w:r>
          </w:p>
        </w:tc>
        <w:tc>
          <w:tcPr>
            <w:tcW w:w="1152" w:type="dxa"/>
            <w:vAlign w:val="center"/>
          </w:tcPr>
          <w:p w14:paraId="7CE8C204" w14:textId="77777777" w:rsidR="00406EFB" w:rsidRDefault="00D52484">
            <w:r>
              <w:rPr>
                <w:sz w:val="17"/>
              </w:rPr>
              <w:t>25 %</w:t>
            </w:r>
          </w:p>
        </w:tc>
        <w:tc>
          <w:tcPr>
            <w:tcW w:w="4032" w:type="dxa"/>
            <w:vAlign w:val="center"/>
          </w:tcPr>
          <w:p w14:paraId="086806C6" w14:textId="77777777" w:rsidR="00406EFB" w:rsidRPr="00EA619F" w:rsidRDefault="00D52484">
            <w:pPr>
              <w:rPr>
                <w:lang w:val="nb-NO"/>
              </w:rPr>
            </w:pPr>
            <w:r w:rsidRPr="00EA619F">
              <w:rPr>
                <w:sz w:val="17"/>
                <w:lang w:val="nb-NO"/>
              </w:rPr>
              <w:t>Illikviditet og høyere equity-beta</w:t>
            </w:r>
          </w:p>
        </w:tc>
      </w:tr>
    </w:tbl>
    <w:p w14:paraId="211ABE75" w14:textId="77777777" w:rsidR="00406EFB" w:rsidRPr="00EA619F" w:rsidRDefault="00D52484">
      <w:pPr>
        <w:pStyle w:val="Nummerertliste"/>
        <w:rPr>
          <w:lang w:val="nb-NO"/>
        </w:rPr>
      </w:pPr>
      <w:r w:rsidRPr="00EA619F">
        <w:rPr>
          <w:lang w:val="nb-NO"/>
        </w:rPr>
        <w:t>Start med siste kjente, langsiktige point estimates/intervaller fra BlackRock, Vanguard og J.P. Morgan for brede globale aktivaklasser.</w:t>
      </w:r>
    </w:p>
    <w:p w14:paraId="1A0964E6" w14:textId="77777777" w:rsidR="00406EFB" w:rsidRPr="00EA619F" w:rsidRDefault="00D52484">
      <w:pPr>
        <w:pStyle w:val="Nummerertliste"/>
        <w:rPr>
          <w:lang w:val="nb-NO"/>
        </w:rPr>
      </w:pPr>
      <w:r w:rsidRPr="00EA619F">
        <w:rPr>
          <w:lang w:val="nb-NO"/>
        </w:rPr>
        <w:t>Bruk representative midtpunkter når kildene oppgir intervaller eller litt ulike definisjoner.</w:t>
      </w:r>
    </w:p>
    <w:p w14:paraId="75708F96" w14:textId="77777777" w:rsidR="00406EFB" w:rsidRPr="00EA619F" w:rsidRDefault="00D52484">
      <w:pPr>
        <w:pStyle w:val="Nummerertliste"/>
        <w:rPr>
          <w:lang w:val="nb-NO"/>
        </w:rPr>
      </w:pPr>
      <w:r w:rsidRPr="00EA619F">
        <w:rPr>
          <w:lang w:val="nb-NO"/>
        </w:rPr>
        <w:t>Forenkle til én norsk presentasjonslinje per aktivaklasse, slik at figuren blir lesbar i kunde- og styremateriale.</w:t>
      </w:r>
    </w:p>
    <w:p w14:paraId="7A416AFE" w14:textId="77777777" w:rsidR="00406EFB" w:rsidRPr="00EA619F" w:rsidRDefault="00D52484">
      <w:pPr>
        <w:pStyle w:val="Nummerertliste"/>
        <w:rPr>
          <w:lang w:val="nb-NO"/>
        </w:rPr>
      </w:pPr>
      <w:r w:rsidRPr="00EA619F">
        <w:rPr>
          <w:lang w:val="nb-NO"/>
        </w:rPr>
        <w:t>Sett risikofri rente til 4,50 % i selve figuren og behold omtrent samme risikopremier mellom aktivaklassene som i kildene.</w:t>
      </w:r>
    </w:p>
    <w:p w14:paraId="3AB29C11" w14:textId="77777777" w:rsidR="00406EFB" w:rsidRPr="00EA619F" w:rsidRDefault="00D52484">
      <w:pPr>
        <w:pStyle w:val="Nummerertliste"/>
        <w:rPr>
          <w:lang w:val="nb-NO"/>
        </w:rPr>
      </w:pPr>
      <w:r w:rsidRPr="00EA619F">
        <w:rPr>
          <w:lang w:val="nb-NO"/>
        </w:rPr>
        <w:t>For Norden og Norge: legg på en eksplisitt regional overlay fordi disse markedene normalt ikke finnes som egne standardlinjer i de globale CMA-tabellene.</w:t>
      </w:r>
    </w:p>
    <w:p w14:paraId="711A1383" w14:textId="77777777" w:rsidR="00406EFB" w:rsidRPr="00EA619F" w:rsidRDefault="00D52484">
      <w:pPr>
        <w:pStyle w:val="Overskrift2"/>
        <w:rPr>
          <w:lang w:val="nb-NO"/>
        </w:rPr>
      </w:pPr>
      <w:r w:rsidRPr="00EA619F">
        <w:rPr>
          <w:lang w:val="nb-NO"/>
        </w:rPr>
        <w:t>5.1 Nordisk og norsk overlay</w:t>
      </w:r>
    </w:p>
    <w:p w14:paraId="106B728B" w14:textId="77777777" w:rsidR="00406EFB" w:rsidRPr="00EA619F" w:rsidRDefault="00D52484">
      <w:pPr>
        <w:rPr>
          <w:lang w:val="nb-NO"/>
        </w:rPr>
      </w:pPr>
      <w:r w:rsidRPr="00EA619F">
        <w:rPr>
          <w:lang w:val="nb-NO"/>
        </w:rPr>
        <w:t>For Norden og Norge er tallene metodisk satt som relative justeringer mot globale aksjer. Dette er vanlig i institusjonell praksis når man ønsker å få inn hjemmemarked/region i en ellers global CMA-tabell, men ikke har et direkte publisert “house view” fra kildene.</w:t>
      </w:r>
    </w:p>
    <w:tbl>
      <w:tblPr>
        <w:tblStyle w:val="Tabellrutenett"/>
        <w:tblW w:w="0" w:type="auto"/>
        <w:jc w:val="center"/>
        <w:tblLook w:val="04A0" w:firstRow="1" w:lastRow="0" w:firstColumn="1" w:lastColumn="0" w:noHBand="0" w:noVBand="1"/>
      </w:tblPr>
      <w:tblGrid>
        <w:gridCol w:w="2436"/>
        <w:gridCol w:w="2436"/>
        <w:gridCol w:w="2436"/>
        <w:gridCol w:w="2436"/>
      </w:tblGrid>
      <w:tr w:rsidR="00406EFB" w14:paraId="1CF6BC77" w14:textId="77777777">
        <w:trPr>
          <w:jc w:val="center"/>
        </w:trPr>
        <w:tc>
          <w:tcPr>
            <w:tcW w:w="2436" w:type="dxa"/>
            <w:shd w:val="clear" w:color="auto" w:fill="D9EAF7"/>
            <w:tcMar>
              <w:top w:w="80" w:type="dxa"/>
              <w:left w:w="100" w:type="dxa"/>
              <w:bottom w:w="80" w:type="dxa"/>
              <w:right w:w="100" w:type="dxa"/>
            </w:tcMar>
          </w:tcPr>
          <w:p w14:paraId="0515EBFB" w14:textId="77777777" w:rsidR="00406EFB" w:rsidRDefault="00D52484">
            <w:r>
              <w:rPr>
                <w:b/>
              </w:rPr>
              <w:t>Linje</w:t>
            </w:r>
          </w:p>
        </w:tc>
        <w:tc>
          <w:tcPr>
            <w:tcW w:w="2436" w:type="dxa"/>
            <w:shd w:val="clear" w:color="auto" w:fill="D9EAF7"/>
            <w:tcMar>
              <w:top w:w="80" w:type="dxa"/>
              <w:left w:w="100" w:type="dxa"/>
              <w:bottom w:w="80" w:type="dxa"/>
              <w:right w:w="100" w:type="dxa"/>
            </w:tcMar>
          </w:tcPr>
          <w:p w14:paraId="350AB97A" w14:textId="77777777" w:rsidR="00406EFB" w:rsidRDefault="00D52484">
            <w:r>
              <w:rPr>
                <w:b/>
              </w:rPr>
              <w:t>Utgangspunkt</w:t>
            </w:r>
          </w:p>
        </w:tc>
        <w:tc>
          <w:tcPr>
            <w:tcW w:w="2436" w:type="dxa"/>
            <w:shd w:val="clear" w:color="auto" w:fill="D9EAF7"/>
            <w:tcMar>
              <w:top w:w="80" w:type="dxa"/>
              <w:left w:w="100" w:type="dxa"/>
              <w:bottom w:w="80" w:type="dxa"/>
              <w:right w:w="100" w:type="dxa"/>
            </w:tcMar>
          </w:tcPr>
          <w:p w14:paraId="777A471F" w14:textId="77777777" w:rsidR="00406EFB" w:rsidRDefault="00D52484">
            <w:r>
              <w:rPr>
                <w:b/>
              </w:rPr>
              <w:t>Illustrativ justering</w:t>
            </w:r>
          </w:p>
        </w:tc>
        <w:tc>
          <w:tcPr>
            <w:tcW w:w="2436" w:type="dxa"/>
            <w:shd w:val="clear" w:color="auto" w:fill="D9EAF7"/>
            <w:tcMar>
              <w:top w:w="80" w:type="dxa"/>
              <w:left w:w="100" w:type="dxa"/>
              <w:bottom w:w="80" w:type="dxa"/>
              <w:right w:w="100" w:type="dxa"/>
            </w:tcMar>
          </w:tcPr>
          <w:p w14:paraId="29076D3E" w14:textId="77777777" w:rsidR="00406EFB" w:rsidRDefault="00D52484">
            <w:r>
              <w:rPr>
                <w:b/>
              </w:rPr>
              <w:t>Begrunnelse</w:t>
            </w:r>
          </w:p>
        </w:tc>
      </w:tr>
      <w:tr w:rsidR="00406EFB" w:rsidRPr="00E0474B" w14:paraId="4E446D4D" w14:textId="77777777">
        <w:trPr>
          <w:jc w:val="center"/>
        </w:trPr>
        <w:tc>
          <w:tcPr>
            <w:tcW w:w="2436" w:type="dxa"/>
            <w:tcMar>
              <w:top w:w="80" w:type="dxa"/>
              <w:left w:w="100" w:type="dxa"/>
              <w:bottom w:w="80" w:type="dxa"/>
              <w:right w:w="100" w:type="dxa"/>
            </w:tcMar>
            <w:vAlign w:val="center"/>
          </w:tcPr>
          <w:p w14:paraId="40A8EC02" w14:textId="77777777" w:rsidR="00406EFB" w:rsidRDefault="00D52484">
            <w:r>
              <w:t>Nordiske aksjer</w:t>
            </w:r>
          </w:p>
        </w:tc>
        <w:tc>
          <w:tcPr>
            <w:tcW w:w="2436" w:type="dxa"/>
            <w:tcMar>
              <w:top w:w="80" w:type="dxa"/>
              <w:left w:w="100" w:type="dxa"/>
              <w:bottom w:w="80" w:type="dxa"/>
              <w:right w:w="100" w:type="dxa"/>
            </w:tcMar>
            <w:vAlign w:val="center"/>
          </w:tcPr>
          <w:p w14:paraId="2B72ED35" w14:textId="77777777" w:rsidR="00406EFB" w:rsidRDefault="00D52484">
            <w:r>
              <w:t>Globale aksjer</w:t>
            </w:r>
          </w:p>
        </w:tc>
        <w:tc>
          <w:tcPr>
            <w:tcW w:w="2436" w:type="dxa"/>
            <w:tcMar>
              <w:top w:w="80" w:type="dxa"/>
              <w:left w:w="100" w:type="dxa"/>
              <w:bottom w:w="80" w:type="dxa"/>
              <w:right w:w="100" w:type="dxa"/>
            </w:tcMar>
            <w:vAlign w:val="center"/>
          </w:tcPr>
          <w:p w14:paraId="7302D3FB" w14:textId="77777777" w:rsidR="00406EFB" w:rsidRDefault="00D52484">
            <w:r w:rsidRPr="00EA619F">
              <w:rPr>
                <w:lang w:val="nb-NO"/>
              </w:rPr>
              <w:t xml:space="preserve">Ca. +0,5 %-poeng forventet avkastning og ca. </w:t>
            </w:r>
            <w:r>
              <w:t>+1 %-poeng volatilitet</w:t>
            </w:r>
          </w:p>
        </w:tc>
        <w:tc>
          <w:tcPr>
            <w:tcW w:w="2436" w:type="dxa"/>
            <w:tcMar>
              <w:top w:w="80" w:type="dxa"/>
              <w:left w:w="100" w:type="dxa"/>
              <w:bottom w:w="80" w:type="dxa"/>
              <w:right w:w="100" w:type="dxa"/>
            </w:tcMar>
            <w:vAlign w:val="center"/>
          </w:tcPr>
          <w:p w14:paraId="4E8B3A32" w14:textId="77777777" w:rsidR="00406EFB" w:rsidRPr="00EA619F" w:rsidRDefault="00D52484">
            <w:pPr>
              <w:rPr>
                <w:lang w:val="nb-NO"/>
              </w:rPr>
            </w:pPr>
            <w:r w:rsidRPr="00EA619F">
              <w:rPr>
                <w:lang w:val="nb-NO"/>
              </w:rPr>
              <w:t>Mindre marked, mer syklisk miks, høyere sektor- og landkonsentrasjon enn global indeks.</w:t>
            </w:r>
          </w:p>
        </w:tc>
      </w:tr>
      <w:tr w:rsidR="00406EFB" w:rsidRPr="00E0474B" w14:paraId="4FCC53D0" w14:textId="77777777">
        <w:trPr>
          <w:jc w:val="center"/>
        </w:trPr>
        <w:tc>
          <w:tcPr>
            <w:tcW w:w="2436" w:type="dxa"/>
            <w:tcMar>
              <w:top w:w="80" w:type="dxa"/>
              <w:left w:w="100" w:type="dxa"/>
              <w:bottom w:w="80" w:type="dxa"/>
              <w:right w:w="100" w:type="dxa"/>
            </w:tcMar>
            <w:vAlign w:val="center"/>
          </w:tcPr>
          <w:p w14:paraId="3221F459" w14:textId="77777777" w:rsidR="00406EFB" w:rsidRDefault="00D52484">
            <w:r>
              <w:t xml:space="preserve">Norske </w:t>
            </w:r>
            <w:proofErr w:type="spellStart"/>
            <w:r>
              <w:t>aksjer</w:t>
            </w:r>
            <w:proofErr w:type="spellEnd"/>
          </w:p>
        </w:tc>
        <w:tc>
          <w:tcPr>
            <w:tcW w:w="2436" w:type="dxa"/>
            <w:tcMar>
              <w:top w:w="80" w:type="dxa"/>
              <w:left w:w="100" w:type="dxa"/>
              <w:bottom w:w="80" w:type="dxa"/>
              <w:right w:w="100" w:type="dxa"/>
            </w:tcMar>
            <w:vAlign w:val="center"/>
          </w:tcPr>
          <w:p w14:paraId="5BA7B7D9" w14:textId="77777777" w:rsidR="00406EFB" w:rsidRDefault="00D52484">
            <w:r>
              <w:t>Globale aksjer</w:t>
            </w:r>
          </w:p>
        </w:tc>
        <w:tc>
          <w:tcPr>
            <w:tcW w:w="2436" w:type="dxa"/>
            <w:tcMar>
              <w:top w:w="80" w:type="dxa"/>
              <w:left w:w="100" w:type="dxa"/>
              <w:bottom w:w="80" w:type="dxa"/>
              <w:right w:w="100" w:type="dxa"/>
            </w:tcMar>
            <w:vAlign w:val="center"/>
          </w:tcPr>
          <w:p w14:paraId="4C44DE8A" w14:textId="77777777" w:rsidR="00406EFB" w:rsidRDefault="00D52484">
            <w:r w:rsidRPr="00EA619F">
              <w:rPr>
                <w:lang w:val="nb-NO"/>
              </w:rPr>
              <w:t xml:space="preserve">Ca. +1,5 %-poeng forventet avkastning og ca. </w:t>
            </w:r>
            <w:r>
              <w:t>+3 %-poeng volatilitet</w:t>
            </w:r>
          </w:p>
        </w:tc>
        <w:tc>
          <w:tcPr>
            <w:tcW w:w="2436" w:type="dxa"/>
            <w:tcMar>
              <w:top w:w="80" w:type="dxa"/>
              <w:left w:w="100" w:type="dxa"/>
              <w:bottom w:w="80" w:type="dxa"/>
              <w:right w:w="100" w:type="dxa"/>
            </w:tcMar>
            <w:vAlign w:val="center"/>
          </w:tcPr>
          <w:p w14:paraId="091A44C1" w14:textId="77777777" w:rsidR="00406EFB" w:rsidRPr="00EA619F" w:rsidRDefault="00D52484">
            <w:pPr>
              <w:rPr>
                <w:lang w:val="nb-NO"/>
              </w:rPr>
            </w:pPr>
            <w:r w:rsidRPr="00EA619F">
              <w:rPr>
                <w:lang w:val="nb-NO"/>
              </w:rPr>
              <w:t>Særlig høy sektor- og råvarekonsentrasjon, mindre diversifisering og større følsomhet for energi/materialer og NOK.</w:t>
            </w:r>
          </w:p>
        </w:tc>
      </w:tr>
    </w:tbl>
    <w:p w14:paraId="6CB83923" w14:textId="77777777" w:rsidR="00406EFB" w:rsidRPr="00EA619F" w:rsidRDefault="00D52484">
      <w:pPr>
        <w:pStyle w:val="Overskrift1"/>
        <w:rPr>
          <w:lang w:val="nb-NO"/>
        </w:rPr>
      </w:pPr>
      <w:r w:rsidRPr="00EA619F">
        <w:rPr>
          <w:lang w:val="nb-NO"/>
        </w:rPr>
        <w:t>6. Hva som er forsvarlig bransjepraksis i Norge</w:t>
      </w:r>
    </w:p>
    <w:p w14:paraId="7274E71A" w14:textId="77777777" w:rsidR="00406EFB" w:rsidRPr="00EA619F" w:rsidRDefault="00D52484">
      <w:pPr>
        <w:rPr>
          <w:lang w:val="nb-NO"/>
        </w:rPr>
      </w:pPr>
      <w:r w:rsidRPr="00EA619F">
        <w:rPr>
          <w:lang w:val="nb-NO"/>
        </w:rPr>
        <w:t>Når slike tall brukes i markedsføring, rådgivning eller kundemateriale i Norge, er det ikke tilstrekkelig å vise bare et pent avkastningstall. Forutsetningene må opplyses, grafikken må gi et korrekt bilde, og risiko må beskrives like fremtredende som fordeler.</w:t>
      </w:r>
    </w:p>
    <w:tbl>
      <w:tblPr>
        <w:tblStyle w:val="Tabellrutenett"/>
        <w:tblW w:w="0" w:type="auto"/>
        <w:jc w:val="center"/>
        <w:tblLook w:val="04A0" w:firstRow="1" w:lastRow="0" w:firstColumn="1" w:lastColumn="0" w:noHBand="0" w:noVBand="1"/>
      </w:tblPr>
      <w:tblGrid>
        <w:gridCol w:w="4873"/>
        <w:gridCol w:w="4873"/>
      </w:tblGrid>
      <w:tr w:rsidR="00406EFB" w14:paraId="4BBFE463" w14:textId="77777777">
        <w:trPr>
          <w:jc w:val="center"/>
        </w:trPr>
        <w:tc>
          <w:tcPr>
            <w:tcW w:w="4873" w:type="dxa"/>
            <w:shd w:val="clear" w:color="auto" w:fill="D9EAF7"/>
            <w:tcMar>
              <w:top w:w="80" w:type="dxa"/>
              <w:left w:w="100" w:type="dxa"/>
              <w:bottom w:w="80" w:type="dxa"/>
              <w:right w:w="100" w:type="dxa"/>
            </w:tcMar>
          </w:tcPr>
          <w:p w14:paraId="09D2C629" w14:textId="77777777" w:rsidR="00406EFB" w:rsidRDefault="00D52484">
            <w:r>
              <w:rPr>
                <w:b/>
              </w:rPr>
              <w:t>Kilde</w:t>
            </w:r>
          </w:p>
        </w:tc>
        <w:tc>
          <w:tcPr>
            <w:tcW w:w="4873" w:type="dxa"/>
            <w:shd w:val="clear" w:color="auto" w:fill="D9EAF7"/>
            <w:tcMar>
              <w:top w:w="80" w:type="dxa"/>
              <w:left w:w="100" w:type="dxa"/>
              <w:bottom w:w="80" w:type="dxa"/>
              <w:right w:w="100" w:type="dxa"/>
            </w:tcMar>
          </w:tcPr>
          <w:p w14:paraId="7608D427" w14:textId="77777777" w:rsidR="00406EFB" w:rsidRDefault="00D52484">
            <w:r>
              <w:rPr>
                <w:b/>
              </w:rPr>
              <w:t>Praktisk betydning</w:t>
            </w:r>
          </w:p>
        </w:tc>
      </w:tr>
      <w:tr w:rsidR="00406EFB" w:rsidRPr="00E0474B" w14:paraId="08D61AF0" w14:textId="77777777">
        <w:trPr>
          <w:jc w:val="center"/>
        </w:trPr>
        <w:tc>
          <w:tcPr>
            <w:tcW w:w="4873" w:type="dxa"/>
            <w:tcMar>
              <w:top w:w="80" w:type="dxa"/>
              <w:left w:w="100" w:type="dxa"/>
              <w:bottom w:w="80" w:type="dxa"/>
              <w:right w:w="100" w:type="dxa"/>
            </w:tcMar>
            <w:vAlign w:val="center"/>
          </w:tcPr>
          <w:p w14:paraId="1BA98C80" w14:textId="77777777" w:rsidR="00406EFB" w:rsidRPr="00EA619F" w:rsidRDefault="00D52484">
            <w:pPr>
              <w:rPr>
                <w:lang w:val="nb-NO"/>
              </w:rPr>
            </w:pPr>
            <w:r w:rsidRPr="00EA619F">
              <w:rPr>
                <w:lang w:val="nb-NO"/>
              </w:rPr>
              <w:t>VFF bransjestandard for markedsføring av verdipapirfond</w:t>
            </w:r>
          </w:p>
        </w:tc>
        <w:tc>
          <w:tcPr>
            <w:tcW w:w="4873" w:type="dxa"/>
            <w:tcMar>
              <w:top w:w="80" w:type="dxa"/>
              <w:left w:w="100" w:type="dxa"/>
              <w:bottom w:w="80" w:type="dxa"/>
              <w:right w:w="100" w:type="dxa"/>
            </w:tcMar>
            <w:vAlign w:val="center"/>
          </w:tcPr>
          <w:p w14:paraId="527FB881" w14:textId="77777777" w:rsidR="00406EFB" w:rsidRPr="00EA619F" w:rsidRDefault="00D52484">
            <w:pPr>
              <w:rPr>
                <w:lang w:val="nb-NO"/>
              </w:rPr>
            </w:pPr>
            <w:r w:rsidRPr="00EA619F">
              <w:rPr>
                <w:lang w:val="nb-NO"/>
              </w:rPr>
              <w:t>Regneeksempler for framtidig avkastning skal opplyse om forutsetningene bak utregningen. Grafisk fremstilling av historisk eller forventet avkastning må gi et korrekt visuelt bilde og være relevant.</w:t>
            </w:r>
          </w:p>
        </w:tc>
      </w:tr>
      <w:tr w:rsidR="00406EFB" w:rsidRPr="00E0474B" w14:paraId="287093DD" w14:textId="77777777">
        <w:trPr>
          <w:jc w:val="center"/>
        </w:trPr>
        <w:tc>
          <w:tcPr>
            <w:tcW w:w="4873" w:type="dxa"/>
            <w:tcMar>
              <w:top w:w="80" w:type="dxa"/>
              <w:left w:w="100" w:type="dxa"/>
              <w:bottom w:w="80" w:type="dxa"/>
              <w:right w:w="100" w:type="dxa"/>
            </w:tcMar>
            <w:vAlign w:val="center"/>
          </w:tcPr>
          <w:p w14:paraId="18D41626" w14:textId="77777777" w:rsidR="00406EFB" w:rsidRDefault="00D52484">
            <w:proofErr w:type="spellStart"/>
            <w:r>
              <w:t>Finanstilsynet</w:t>
            </w:r>
            <w:proofErr w:type="spellEnd"/>
            <w:r>
              <w:t xml:space="preserve"> / ESMA-</w:t>
            </w:r>
            <w:proofErr w:type="spellStart"/>
            <w:r>
              <w:t>retningslinjer</w:t>
            </w:r>
            <w:proofErr w:type="spellEnd"/>
          </w:p>
        </w:tc>
        <w:tc>
          <w:tcPr>
            <w:tcW w:w="4873" w:type="dxa"/>
            <w:tcMar>
              <w:top w:w="80" w:type="dxa"/>
              <w:left w:w="100" w:type="dxa"/>
              <w:bottom w:w="80" w:type="dxa"/>
              <w:right w:w="100" w:type="dxa"/>
            </w:tcMar>
            <w:vAlign w:val="center"/>
          </w:tcPr>
          <w:p w14:paraId="1B6262AF" w14:textId="77777777" w:rsidR="00406EFB" w:rsidRPr="00EA619F" w:rsidRDefault="00D52484">
            <w:pPr>
              <w:rPr>
                <w:lang w:val="nb-NO"/>
              </w:rPr>
            </w:pPr>
            <w:r w:rsidRPr="00EA619F">
              <w:rPr>
                <w:lang w:val="nb-NO"/>
              </w:rPr>
              <w:t>Markedsføringskommunikasjon skal være rettvisende, klar og ikke villedende. Risiko skal beskrives på en like fremtredende måte som fordeler.</w:t>
            </w:r>
          </w:p>
        </w:tc>
      </w:tr>
      <w:tr w:rsidR="00406EFB" w:rsidRPr="00E0474B" w14:paraId="29929988" w14:textId="77777777">
        <w:trPr>
          <w:jc w:val="center"/>
        </w:trPr>
        <w:tc>
          <w:tcPr>
            <w:tcW w:w="4873" w:type="dxa"/>
            <w:tcMar>
              <w:top w:w="80" w:type="dxa"/>
              <w:left w:w="100" w:type="dxa"/>
              <w:bottom w:w="80" w:type="dxa"/>
              <w:right w:w="100" w:type="dxa"/>
            </w:tcMar>
            <w:vAlign w:val="center"/>
          </w:tcPr>
          <w:p w14:paraId="01E55949" w14:textId="77777777" w:rsidR="00406EFB" w:rsidRDefault="00D52484">
            <w:proofErr w:type="spellStart"/>
            <w:r>
              <w:t>Finanstilsynets</w:t>
            </w:r>
            <w:proofErr w:type="spellEnd"/>
            <w:r>
              <w:t xml:space="preserve"> </w:t>
            </w:r>
            <w:proofErr w:type="spellStart"/>
            <w:r>
              <w:t>tilsynspraksis</w:t>
            </w:r>
            <w:proofErr w:type="spellEnd"/>
          </w:p>
        </w:tc>
        <w:tc>
          <w:tcPr>
            <w:tcW w:w="4873" w:type="dxa"/>
            <w:tcMar>
              <w:top w:w="80" w:type="dxa"/>
              <w:left w:w="100" w:type="dxa"/>
              <w:bottom w:w="80" w:type="dxa"/>
              <w:right w:w="100" w:type="dxa"/>
            </w:tcMar>
            <w:vAlign w:val="center"/>
          </w:tcPr>
          <w:p w14:paraId="569EEA62" w14:textId="77777777" w:rsidR="00406EFB" w:rsidRPr="00EA619F" w:rsidRDefault="00D52484">
            <w:pPr>
              <w:rPr>
                <w:lang w:val="nb-NO"/>
              </w:rPr>
            </w:pPr>
            <w:r w:rsidRPr="00EA619F">
              <w:rPr>
                <w:lang w:val="nb-NO"/>
              </w:rPr>
              <w:t>Foretak bør kunne forklare beregningene, inkluderte/utelatte kostnader og hva grafene faktisk er ment å illustrere, ellers kan presentasjonen bli vurdert som ubalansert eller uklar.</w:t>
            </w:r>
          </w:p>
        </w:tc>
      </w:tr>
    </w:tbl>
    <w:p w14:paraId="7818BE69" w14:textId="77777777" w:rsidR="00406EFB" w:rsidRPr="00EA619F" w:rsidRDefault="00D52484">
      <w:pPr>
        <w:pStyle w:val="Overskrift1"/>
        <w:rPr>
          <w:lang w:val="nb-NO"/>
        </w:rPr>
      </w:pPr>
      <w:r w:rsidRPr="00EA619F">
        <w:rPr>
          <w:lang w:val="nb-NO"/>
        </w:rPr>
        <w:t>7. Anbefalt formulering når figuren brukes</w:t>
      </w:r>
    </w:p>
    <w:p w14:paraId="684DB156" w14:textId="77777777" w:rsidR="00406EFB" w:rsidRPr="00EA619F" w:rsidRDefault="00D52484">
      <w:pPr>
        <w:rPr>
          <w:lang w:val="nb-NO"/>
        </w:rPr>
      </w:pPr>
      <w:r w:rsidRPr="00EA619F">
        <w:rPr>
          <w:lang w:val="nb-NO"/>
        </w:rPr>
        <w:t>“Tallene er illustrativt satt opp med utgangspunkt i siste tilgjengelige langsiktige kapitalmarkedsforventninger fra BlackRock, Vanguard og J.P. Morgan Asset Management. For Norden og Norge er det brukt en eksplisitt regional overlay. Forventet avkastning er ikke en garanti for framtidige resultater, og risikoen er vist som illustrativ årlig volatilitet (standardavvik).”</w:t>
      </w:r>
    </w:p>
    <w:p w14:paraId="07991F5D" w14:textId="77777777" w:rsidR="00406EFB" w:rsidRPr="00EA619F" w:rsidRDefault="00D52484">
      <w:pPr>
        <w:pStyle w:val="Overskrift1"/>
        <w:rPr>
          <w:lang w:val="nb-NO"/>
        </w:rPr>
      </w:pPr>
      <w:r w:rsidRPr="00EA619F">
        <w:rPr>
          <w:lang w:val="nb-NO"/>
        </w:rPr>
        <w:t>Kilder</w:t>
      </w:r>
    </w:p>
    <w:p w14:paraId="1854F493" w14:textId="77777777" w:rsidR="00406EFB" w:rsidRPr="00EA619F" w:rsidRDefault="00D52484">
      <w:pPr>
        <w:spacing w:after="40"/>
        <w:rPr>
          <w:lang w:val="nb-NO"/>
        </w:rPr>
      </w:pPr>
      <w:r w:rsidRPr="00EA619F">
        <w:rPr>
          <w:lang w:val="nb-NO"/>
        </w:rPr>
        <w:t xml:space="preserve">BlackRock, Capital Market Assumptions (metodikk og data): </w:t>
      </w:r>
      <w:hyperlink r:id="rId13">
        <w:r w:rsidRPr="00EA619F">
          <w:rPr>
            <w:color w:val="0563C1"/>
            <w:u w:val="single"/>
            <w:lang w:val="nb-NO"/>
          </w:rPr>
          <w:t>https://www.blackrock.com/us/financial-professionals/insights/capital-market-assumptions</w:t>
        </w:r>
      </w:hyperlink>
    </w:p>
    <w:p w14:paraId="0E377150" w14:textId="77777777" w:rsidR="00406EFB" w:rsidRPr="00EA619F" w:rsidRDefault="00D52484">
      <w:pPr>
        <w:spacing w:after="40"/>
        <w:rPr>
          <w:lang w:val="nb-NO"/>
        </w:rPr>
      </w:pPr>
      <w:r w:rsidRPr="00EA619F">
        <w:rPr>
          <w:lang w:val="nb-NO"/>
        </w:rPr>
        <w:t xml:space="preserve">Vanguard, Vanguard Capital Markets Model® </w:t>
      </w:r>
      <w:proofErr w:type="spellStart"/>
      <w:r w:rsidRPr="00EA619F">
        <w:rPr>
          <w:lang w:val="nb-NO"/>
        </w:rPr>
        <w:t>forecasts</w:t>
      </w:r>
      <w:proofErr w:type="spellEnd"/>
      <w:r w:rsidRPr="00EA619F">
        <w:rPr>
          <w:lang w:val="nb-NO"/>
        </w:rPr>
        <w:t xml:space="preserve">: </w:t>
      </w:r>
      <w:hyperlink r:id="rId14">
        <w:r w:rsidRPr="00EA619F">
          <w:rPr>
            <w:color w:val="0563C1"/>
            <w:u w:val="single"/>
            <w:lang w:val="nb-NO"/>
          </w:rPr>
          <w:t>https://corporate.vanguard.com/content/corporatesite/us/en/corp/vemo/vemo-return-forecasts.html</w:t>
        </w:r>
      </w:hyperlink>
    </w:p>
    <w:p w14:paraId="0002CF9A" w14:textId="77777777" w:rsidR="00406EFB" w:rsidRDefault="00D52484">
      <w:pPr>
        <w:spacing w:after="40"/>
      </w:pPr>
      <w:r>
        <w:t xml:space="preserve">J.P. Morgan Asset Management, 2026 Long-Term Capital Market Assumptions: </w:t>
      </w:r>
      <w:hyperlink r:id="rId15">
        <w:r>
          <w:rPr>
            <w:color w:val="0563C1"/>
            <w:u w:val="single"/>
          </w:rPr>
          <w:t>https://am.jpmorgan.com/content/dam/jpm-am-aem/americas/us/en/institutional/insights/portfolio-insights/ltcma-full-report.pdf</w:t>
        </w:r>
      </w:hyperlink>
    </w:p>
    <w:p w14:paraId="06E2E9A4" w14:textId="77777777" w:rsidR="00406EFB" w:rsidRPr="00EA619F" w:rsidRDefault="00D52484">
      <w:pPr>
        <w:spacing w:after="40"/>
        <w:rPr>
          <w:lang w:val="nb-NO"/>
        </w:rPr>
      </w:pPr>
      <w:r w:rsidRPr="00EA619F">
        <w:rPr>
          <w:lang w:val="nb-NO"/>
        </w:rPr>
        <w:t xml:space="preserve">Verdipapirfondenes forening, Bransjestandard for markedsføring av verdipapirfond (2025): </w:t>
      </w:r>
      <w:hyperlink r:id="rId16">
        <w:r w:rsidRPr="00EA619F">
          <w:rPr>
            <w:color w:val="0563C1"/>
            <w:u w:val="single"/>
            <w:lang w:val="nb-NO"/>
          </w:rPr>
          <w:t>https://vff.no/documents/Bransjenormer/Bransjestandarder/2025/Bransjestandard-for-markedsf%C3%B8ring-av-verdipapirfond.pdf</w:t>
        </w:r>
      </w:hyperlink>
    </w:p>
    <w:p w14:paraId="4A29EFE0" w14:textId="77777777" w:rsidR="00406EFB" w:rsidRPr="00EA619F" w:rsidRDefault="00D52484">
      <w:pPr>
        <w:spacing w:after="40"/>
        <w:rPr>
          <w:lang w:val="nb-NO"/>
        </w:rPr>
      </w:pPr>
      <w:r w:rsidRPr="00EA619F">
        <w:rPr>
          <w:lang w:val="nb-NO"/>
        </w:rPr>
        <w:t xml:space="preserve">Finanstilsynet, Retningslinjer om markedsføringskommunikasjon av fond: </w:t>
      </w:r>
      <w:hyperlink r:id="rId17">
        <w:r w:rsidRPr="00EA619F">
          <w:rPr>
            <w:color w:val="0563C1"/>
            <w:u w:val="single"/>
            <w:lang w:val="nb-NO"/>
          </w:rPr>
          <w:t>https://www.finanstilsynet.no/nyhetsarkiv/nyheter/2024/retningslinjer-om-markedsforingskommunikasjon-av-fond/</w:t>
        </w:r>
      </w:hyperlink>
    </w:p>
    <w:p w14:paraId="45E44DFF" w14:textId="77777777" w:rsidR="00406EFB" w:rsidRPr="00EA619F" w:rsidRDefault="00D52484">
      <w:pPr>
        <w:spacing w:after="40"/>
        <w:rPr>
          <w:lang w:val="nb-NO"/>
        </w:rPr>
      </w:pPr>
      <w:r w:rsidRPr="00EA619F">
        <w:rPr>
          <w:lang w:val="nb-NO"/>
        </w:rPr>
        <w:t xml:space="preserve">Finanstilsynet, Tilsynsrapport Søderberg &amp; Partners </w:t>
      </w:r>
      <w:proofErr w:type="spellStart"/>
      <w:r w:rsidRPr="00EA619F">
        <w:rPr>
          <w:lang w:val="nb-NO"/>
        </w:rPr>
        <w:t>Wealth</w:t>
      </w:r>
      <w:proofErr w:type="spellEnd"/>
      <w:r w:rsidRPr="00EA619F">
        <w:rPr>
          <w:lang w:val="nb-NO"/>
        </w:rPr>
        <w:t xml:space="preserve"> Management AS: </w:t>
      </w:r>
      <w:hyperlink r:id="rId18">
        <w:r w:rsidRPr="00EA619F">
          <w:rPr>
            <w:color w:val="0563C1"/>
            <w:u w:val="single"/>
            <w:lang w:val="nb-NO"/>
          </w:rPr>
          <w:t>https://www.finanstilsynet.no/contentassets/53ffa1ac19a74acbbf4b37ca2cd73b06/tilsynsrapport-soderberg-partners-wealth-management-as.pdf</w:t>
        </w:r>
      </w:hyperlink>
    </w:p>
    <w:p w14:paraId="62910667" w14:textId="77777777" w:rsidR="00406EFB" w:rsidRPr="00EA619F" w:rsidRDefault="00406EFB">
      <w:pPr>
        <w:rPr>
          <w:lang w:val="nb-NO"/>
        </w:rPr>
      </w:pPr>
    </w:p>
    <w:p w14:paraId="70AF844B" w14:textId="77777777" w:rsidR="00406EFB" w:rsidRPr="00EA619F" w:rsidRDefault="00406EFB">
      <w:pPr>
        <w:rPr>
          <w:lang w:val="nb-NO"/>
        </w:rPr>
      </w:pPr>
    </w:p>
    <w:sectPr w:rsidR="00406EFB" w:rsidRPr="00EA619F"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18913781">
    <w:abstractNumId w:val="8"/>
  </w:num>
  <w:num w:numId="2" w16cid:durableId="608046204">
    <w:abstractNumId w:val="6"/>
  </w:num>
  <w:num w:numId="3" w16cid:durableId="1379236396">
    <w:abstractNumId w:val="5"/>
  </w:num>
  <w:num w:numId="4" w16cid:durableId="1631326074">
    <w:abstractNumId w:val="4"/>
  </w:num>
  <w:num w:numId="5" w16cid:durableId="1555628396">
    <w:abstractNumId w:val="7"/>
  </w:num>
  <w:num w:numId="6" w16cid:durableId="1943683964">
    <w:abstractNumId w:val="3"/>
  </w:num>
  <w:num w:numId="7" w16cid:durableId="912739860">
    <w:abstractNumId w:val="2"/>
  </w:num>
  <w:num w:numId="8" w16cid:durableId="992952639">
    <w:abstractNumId w:val="1"/>
  </w:num>
  <w:num w:numId="9" w16cid:durableId="195258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38"/>
    <w:rsid w:val="00034616"/>
    <w:rsid w:val="0006063C"/>
    <w:rsid w:val="0015074B"/>
    <w:rsid w:val="0029639D"/>
    <w:rsid w:val="00326F90"/>
    <w:rsid w:val="00406EFB"/>
    <w:rsid w:val="0064399B"/>
    <w:rsid w:val="00873B92"/>
    <w:rsid w:val="00A44C87"/>
    <w:rsid w:val="00AA1D8D"/>
    <w:rsid w:val="00B47730"/>
    <w:rsid w:val="00CB0664"/>
    <w:rsid w:val="00E0474B"/>
    <w:rsid w:val="00EA6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AA5E7"/>
  <w14:defaultImageDpi w14:val="300"/>
  <w15:docId w15:val="{078A8B55-8DE8-46B9-B758-956A4088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63557"/>
      <w:sz w:val="30"/>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2A4D69"/>
      <w:sz w:val="24"/>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557"/>
      <w:spacing w:val="5"/>
      <w:kern w:val="28"/>
      <w:sz w:val="44"/>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lackrock.com/us/financial-professionals/insights/capital-market-assumptions" TargetMode="External"/><Relationship Id="rId18" Type="http://schemas.openxmlformats.org/officeDocument/2006/relationships/hyperlink" Target="https://www.finanstilsynet.no/contentassets/53ffa1ac19a74acbbf4b37ca2cd73b06/tilsynsrapport-soderberg-partners-wealth-management-as.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m.jpmorgan.com/content/dam/jpm-am-aem/americas/us/en/institutional/insights/portfolio-insights/ltcma-full-report.pdf" TargetMode="External"/><Relationship Id="rId17" Type="http://schemas.openxmlformats.org/officeDocument/2006/relationships/hyperlink" Target="https://www.finanstilsynet.no/nyhetsarkiv/nyheter/2024/retningslinjer-om-markedsforingskommunikasjon-av-fond/" TargetMode="External"/><Relationship Id="rId2" Type="http://schemas.openxmlformats.org/officeDocument/2006/relationships/customXml" Target="../customXml/item2.xml"/><Relationship Id="rId16" Type="http://schemas.openxmlformats.org/officeDocument/2006/relationships/hyperlink" Target="https://vff.no/documents/Bransjenormer/Bransjestandarder/2025/Bransjestandard-for-markedsf%C3%B8ring-av-verdipapirfond.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rporate.vanguard.com/content/corporatesite/us/en/corp/vemo/vemo-return-forecasts.html" TargetMode="External"/><Relationship Id="rId5" Type="http://schemas.openxmlformats.org/officeDocument/2006/relationships/numbering" Target="numbering.xml"/><Relationship Id="rId15" Type="http://schemas.openxmlformats.org/officeDocument/2006/relationships/hyperlink" Target="https://am.jpmorgan.com/content/dam/jpm-am-aem/americas/us/en/institutional/insights/portfolio-insights/ltcma-full-report.pdf" TargetMode="External"/><Relationship Id="rId10" Type="http://schemas.openxmlformats.org/officeDocument/2006/relationships/hyperlink" Target="https://www.blackrock.com/us/financial-professionals/insights/capital-market-assumptions"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corporate.vanguard.com/content/corporatesite/us/en/corp/vemo/vemo-return-foreca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256882-87bc-455b-9c3e-38007a0d6aff">
      <Terms xmlns="http://schemas.microsoft.com/office/infopath/2007/PartnerControls"/>
    </lcf76f155ced4ddcb4097134ff3c332f>
    <TaxCatchAll xmlns="3afb184f-c94b-4f26-b5de-ec4cd5693b7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E48343E7AE90814998107EF6D97F6EE7" ma:contentTypeVersion="19" ma:contentTypeDescription="Opprett et nytt dokument." ma:contentTypeScope="" ma:versionID="3a5fc2cbcf5ac35ed502ef9e01de4b08">
  <xsd:schema xmlns:xsd="http://www.w3.org/2001/XMLSchema" xmlns:xs="http://www.w3.org/2001/XMLSchema" xmlns:p="http://schemas.microsoft.com/office/2006/metadata/properties" xmlns:ns2="57256882-87bc-455b-9c3e-38007a0d6aff" xmlns:ns3="3afb184f-c94b-4f26-b5de-ec4cd5693b72" targetNamespace="http://schemas.microsoft.com/office/2006/metadata/properties" ma:root="true" ma:fieldsID="39952531468fca4b1dcf912f3b388053" ns2:_="" ns3:_="">
    <xsd:import namespace="57256882-87bc-455b-9c3e-38007a0d6aff"/>
    <xsd:import namespace="3afb184f-c94b-4f26-b5de-ec4cd5693b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56882-87bc-455b-9c3e-38007a0d6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emerkelapper" ma:readOnly="false" ma:fieldId="{5cf76f15-5ced-4ddc-b409-7134ff3c332f}" ma:taxonomyMulti="true" ma:sspId="a550ba90-fdd4-482a-a791-d8744d258d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fb184f-c94b-4f26-b5de-ec4cd5693b72" elementFormDefault="qualified">
    <xsd:import namespace="http://schemas.microsoft.com/office/2006/documentManagement/types"/>
    <xsd:import namespace="http://schemas.microsoft.com/office/infopath/2007/PartnerControls"/>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ingsdetaljer" ma:internalName="SharedWithDetails" ma:readOnly="true">
      <xsd:simpleType>
        <xsd:restriction base="dms:Note">
          <xsd:maxLength value="255"/>
        </xsd:restriction>
      </xsd:simpleType>
    </xsd:element>
    <xsd:element name="TaxCatchAll" ma:index="23" nillable="true" ma:displayName="Taxonomy Catch All Column" ma:hidden="true" ma:list="{e1b1275f-ef78-47ac-8825-5bd4fbb9cbaf}" ma:internalName="TaxCatchAll" ma:showField="CatchAllData" ma:web="3afb184f-c94b-4f26-b5de-ec4cd5693b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FD96B6-FC1C-4F49-A3EB-2C197B934D44}">
  <ds:schemaRefs>
    <ds:schemaRef ds:uri="http://schemas.microsoft.com/office/2006/metadata/properties"/>
    <ds:schemaRef ds:uri="http://schemas.microsoft.com/office/infopath/2007/PartnerControls"/>
    <ds:schemaRef ds:uri="57256882-87bc-455b-9c3e-38007a0d6aff"/>
    <ds:schemaRef ds:uri="3afb184f-c94b-4f26-b5de-ec4cd5693b72"/>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4A6CD94-C7E5-4675-BFED-CDC073FD4EBF}">
  <ds:schemaRefs>
    <ds:schemaRef ds:uri="http://schemas.microsoft.com/sharepoint/v3/contenttype/forms"/>
  </ds:schemaRefs>
</ds:datastoreItem>
</file>

<file path=customXml/itemProps4.xml><?xml version="1.0" encoding="utf-8"?>
<ds:datastoreItem xmlns:ds="http://schemas.openxmlformats.org/officeDocument/2006/customXml" ds:itemID="{8FE4454D-3DC1-4146-B0A2-1C961043F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256882-87bc-455b-9c3e-38007a0d6aff"/>
    <ds:schemaRef ds:uri="3afb184f-c94b-4f26-b5de-ec4cd5693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2219</Words>
  <Characters>11761</Characters>
  <Application>Microsoft Office Word</Application>
  <DocSecurity>0</DocSecurity>
  <Lines>98</Lines>
  <Paragraphs>27</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Nora Damås</cp:lastModifiedBy>
  <cp:revision>2</cp:revision>
  <dcterms:created xsi:type="dcterms:W3CDTF">2026-10-14T11:01:00Z</dcterms:created>
  <dcterms:modified xsi:type="dcterms:W3CDTF">2026-10-14T11:01:00Z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0x010100E48343E7AE90814998107EF6D97F6EE7</vt:lpwstr>
  </property>
</Properties>
</file>