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0FE83" w14:textId="7791F471"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"Frontline Feedback: How Embedded Teams are Revolutionizing Defense Tech</w:t>
      </w:r>
    </w:p>
    <w:p w14:paraId="11E2BC55"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p>
    <w:p w14:paraId="70276B3A" w14:textId="77777777" w:rsidR="005D72E3" w:rsidRDefault="005D72E3" w:rsidP="005D72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Embarking on defense technology modernization is challenging, necessitating a navigation through complex bureaucracy towards a model as agile and innovative as the private sector. Central to this effort are the Fiscal Year 2024 National Defense Authorization Act (FY24 NDAA) and the Department of Defense Chief Information Officer's (DoD CIO) Software Modernization Plan, which serve as key guides for building a more adaptable defense technology infrastructure.</w:t>
      </w:r>
    </w:p>
    <w:p w14:paraId="33497958" w14:textId="77777777" w:rsidR="005D72E3" w:rsidRDefault="005D72E3" w:rsidP="005D72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task ahead involves transitioning from traditional, slow processes, constrained by intricate budgeting practices, to a more dynamic and collaborative approach. Here, the focus is on integrating the rapid innovation characteristic of tech startups with military operations. This integration does not aim to alter foundational operational strategies but to infuse military technology development with startup culture’s agility and innovation.</w:t>
      </w:r>
    </w:p>
    <w:p w14:paraId="24C106C1" w14:textId="77777777" w:rsidR="005D72E3" w:rsidRDefault="005D72E3" w:rsidP="005D72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modernizing defense technology, particularly in pivotal regions like the Indo-Pacific, emphasizes the importance of collaboration with allies to ensure system interoperability and cohesive operations.</w:t>
      </w:r>
    </w:p>
    <w:p w14:paraId="1C2CCF2A" w14:textId="77777777" w:rsidR="005D72E3" w:rsidRDefault="005D72E3" w:rsidP="005D72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Despite the hurdles of bureaucratic inertia and the requirement for international collaboration, a clear focus, and a commitment to change drive us forward. Our objective remains to enhance our defense systems with technology that is not just advanced but also flexible and prepared for the challenges ahead.</w:t>
      </w:r>
    </w:p>
    <w:p w14:paraId="4AAC1F55"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p>
    <w:p w14:paraId="6CC9EC3D"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1EB2D8C5" w14:textId="6EC8FEB9"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1. Overcoming Bureaucratic Inertia</w:t>
      </w:r>
    </w:p>
    <w:p w14:paraId="4E32B40A"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push for agile modernization within the defense sector confronts significant obstacles, primarily due to entrenched budgeting practices and policy constraints. These traditional frameworks often slow down the pace at which new technologies can be developed and deployed.</w:t>
      </w:r>
    </w:p>
    <w:p w14:paraId="0A31BF80"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lastRenderedPageBreak/>
        <w:t>To address this, there's a pressing need to make defense budgets more flexible, allowing for quicker allocation of funds towards promising research and engineering (R&amp;E) projects that signify innovation. This approach doesn't compromise fiscal responsibility but enables a more dynamic response to emerging technological opportunities.</w:t>
      </w:r>
    </w:p>
    <w:p w14:paraId="318C3923"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Moreover, the existing ecosystem of software factories, accelerators, and spark cells represents valuable platforms for innovation. However, these need to be optimized to better harness and elevate the insights of end-users, regardless of the technology’s origin or its stage of development. By doing so, we ensure that new solutions are not only innovative but also directly relevant to operational needs.</w:t>
      </w:r>
    </w:p>
    <w:p w14:paraId="6B78D0EC"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Advancing requires more than just navigating existing processes; it demands a shift in the defense procurement and policy framework towards embracing rapid prototyping, testing, and user engagement. The Department of Defense (DoD) leadership plays a crucial role in this transformation, guiding the sector to prioritize flexibility, user-centric development, and streamlined pathways from concept to deployment.</w:t>
      </w:r>
    </w:p>
    <w:p w14:paraId="14F3EC71"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2. Leading Edge Connectivity and Interoperability</w:t>
      </w:r>
    </w:p>
    <w:p w14:paraId="6CC26485"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next critical area of focus is enhancing edge connectivity and ensuring interoperability among diverse operational environments and coalition partners. This involves developing a unified technology ecosystem that supports seamless communication and collaboration across different platforms and systems.</w:t>
      </w:r>
    </w:p>
    <w:p w14:paraId="7897285E"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 key priority is reducing dependence on traditional GPS for Positioning, Navigation, and Timing (PNT) by exploring and integrating alternative systems. This ensures reliable operations even in contested electronic environments, enhancing the operational flexibility and resilience of military operations.</w:t>
      </w:r>
    </w:p>
    <w:p w14:paraId="59F48746"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Achieving this level of connectivity and interoperability requires coordinated efforts and strong leadership to implement universal standards and protocols. This will facilitate better integration of communication hardware and software, ensuring that systems used by the U.S. and its allies can work together efficiently and effectively.</w:t>
      </w:r>
    </w:p>
    <w:p w14:paraId="14F65C47"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As the defense sector strives to modernize its technology infrastructure, the focus must remain on fostering collaboration, encouraging innovation, and maintaining a commitment to operational readiness. By addressing the challenges of bureaucratic inertia and building a more interconnected and interoperable technological landscape, the DoD can ensure it remains capable of meeting the demands of modern warfare.</w:t>
      </w:r>
    </w:p>
    <w:p w14:paraId="3F2CD285"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420E9C87" w14:textId="25C2D9DE"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3. Embracing Dual-Use Technologies for Agile Development</w:t>
      </w:r>
    </w:p>
    <w:p w14:paraId="4597CB72"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 significant leap forward in defense technology modernization involves embracing dual-use technologies — solutions developed in the commercial sector that can be adapted for military applications. This strategy is crucial for accelerating the pace of innovation and ensuring that the defense sector benefits from cutting-edge developments.</w:t>
      </w:r>
    </w:p>
    <w:p w14:paraId="6B64BD89"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Dual-use technologies, by their nature, come with the advantage of having been tested and refined in highly competitive commercial markets. This means they often offer more advanced capabilities and better user experiences than those developed exclusively within the defense sector. For defense applications, the challenge lies in adapting these technologies to meet specific military requirements without compromising on security or operational effectiveness.</w:t>
      </w:r>
    </w:p>
    <w:p w14:paraId="12C82AE8"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process of integrating dual-use technologies into defense systems requires a close collaboration between military end-users, technology developers, and industry partners. This partnership ensures that the feedback loop between those who use the technology and those who create it is tight and continuous. Such collaboration not only speeds up the development cycle but also ensures that the final product is closely aligned with the actual needs of the warfighters.</w:t>
      </w:r>
    </w:p>
    <w:p w14:paraId="2422BCC2"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Moreover, leveraging dual-use technologies necessitates a mature deployment process that allows for rapid prototyping, testing, and iteration. This means creating an environment where technologies can be quickly adapted, securely tested in operational scenarios, and deployed at scale once proven effective. It’s about fostering a culture of innovation where failure is seen as a step towards success, encouraging experimentation and learning.</w:t>
      </w:r>
    </w:p>
    <w:p w14:paraId="63B013F9"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adoption of dual-use technologies signifies a departure from traditional, linear development processes. It calls for an agile approach where solutions evolve through iterative cycles, integrating new advancements as they become available. This model not only enhances the military's technological capabilities but also ensures that its systems remain adaptable and future-proof.</w:t>
      </w:r>
    </w:p>
    <w:p w14:paraId="74FB2BD1"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 xml:space="preserve">To successfully leverage dual-use technologies, the defense sector must navigate regulatory and procurement challenges that can hinder rapid integration. This involves streamlining acquisition processes and ensuring that regulatory frameworks support, </w:t>
      </w:r>
      <w:r w:rsidRPr="005D72E3">
        <w:rPr>
          <w:rFonts w:ascii="Segoe UI" w:eastAsia="Times New Roman" w:hAnsi="Segoe UI" w:cs="Segoe UI"/>
          <w:color w:val="0D0D0D"/>
          <w:kern w:val="0"/>
          <w:sz w:val="24"/>
          <w:szCs w:val="24"/>
          <w14:ligatures w14:val="none"/>
        </w:rPr>
        <w:lastRenderedPageBreak/>
        <w:t>rather than stifle, innovation. By doing so, the defense sector can harness the full potential of dual-use technologies, maintaining technological superiority in an ever-evolving threat landscape.</w:t>
      </w:r>
    </w:p>
    <w:p w14:paraId="25BC9C55"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7F4BB471"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5C2451B7" w14:textId="4FC62379"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4. Strengthening Joint and Coalition Capabilities</w:t>
      </w:r>
    </w:p>
    <w:p w14:paraId="785FB5CA"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Modernization efforts within defense technology are not solely about advancing individual systems or platforms; they critically hinge on enhancing joint and coalition interoperability. This focus ensures that as the defense sector evolves, it does so with an eye towards seamless integration and operability across the diverse array of partners within the Indo-Pacific theater and beyond.</w:t>
      </w:r>
    </w:p>
    <w:p w14:paraId="0ACDFE32"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Joint and coalition operations are foundational to contemporary defense strategies, requiring systems that can communicate, share data, and operate in concert regardless of their origin. Achieving this level of interoperability necessitates a concerted effort to develop and adopt common standards, protocols, and interfaces that enable different systems to work together effectively. This task is complex, involving not just technical adjustments but also alignment on policy, doctrine, and operational concepts among participating nations.</w:t>
      </w:r>
    </w:p>
    <w:p w14:paraId="1B9D88BA"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 xml:space="preserve">One approach to fostering this environment is </w:t>
      </w:r>
      <w:proofErr w:type="gramStart"/>
      <w:r w:rsidRPr="005D72E3">
        <w:rPr>
          <w:rFonts w:ascii="Segoe UI" w:eastAsia="Times New Roman" w:hAnsi="Segoe UI" w:cs="Segoe UI"/>
          <w:color w:val="0D0D0D"/>
          <w:kern w:val="0"/>
          <w:sz w:val="24"/>
          <w:szCs w:val="24"/>
          <w14:ligatures w14:val="none"/>
        </w:rPr>
        <w:t>through the use of</w:t>
      </w:r>
      <w:proofErr w:type="gramEnd"/>
      <w:r w:rsidRPr="005D72E3">
        <w:rPr>
          <w:rFonts w:ascii="Segoe UI" w:eastAsia="Times New Roman" w:hAnsi="Segoe UI" w:cs="Segoe UI"/>
          <w:color w:val="0D0D0D"/>
          <w:kern w:val="0"/>
          <w:sz w:val="24"/>
          <w:szCs w:val="24"/>
          <w14:ligatures w14:val="none"/>
        </w:rPr>
        <w:t xml:space="preserve"> joint operational centers of excellence. These hubs serve as collaborative spaces where technology integration can be developed, tested, and refined in a controlled yet realistic setting. By leveraging these centers, the defense community can simulate joint and coalition operations, identifying interoperability challenges and opportunities in a risk-reduced environment.</w:t>
      </w:r>
    </w:p>
    <w:p w14:paraId="059302C4"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In addition to technological and operational integration, security remains a paramount concern. The adoption of zero-trust architectures and single sign-on networks are critical steps in ensuring that while interoperability is enhanced, it does not come at the expense of compromising sensitive information or operational security. These security measures must be flexible enough to accommodate the varying levels of trust and classification across different nations and units, providing a secure yet accessible framework for collaboration.</w:t>
      </w:r>
    </w:p>
    <w:p w14:paraId="73DDDFB5"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lastRenderedPageBreak/>
        <w:t>Moreover, fostering joint and coalition capabilities extends beyond hardware and software; it encompasses building trust and understanding among partners. This involves regular exercises, exchanges, and training programs that not only test the technical aspects of interoperability but also enhance the human connections that are vital for successful collaboration in operational contexts.</w:t>
      </w:r>
    </w:p>
    <w:p w14:paraId="21DC2009"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As the defense sector moves forward with its modernization efforts, the emphasis on joint and coalition capabilities underscores the recognition that in today's interconnected security environment, no nation stands alone. The challenges are shared, as are the solutions. By working together, leveraging shared technologies, and building interoperable systems, the defense community strengthens not just its own capabilities but also the collective security and stability of the global order.</w:t>
      </w:r>
    </w:p>
    <w:p w14:paraId="62988C13"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43116DAF" w14:textId="77777777" w:rsid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5BAF7B09" w14:textId="114299C2"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5. Applying "White Cell" and "Red Team" Strategies</w:t>
      </w:r>
    </w:p>
    <w:p w14:paraId="760FE4A7"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effective application of "White Cell" and "Red Team" strategies plays a pivotal role in the modernization of defense technology, especially in testing and refining new systems and approaches under realistic conditions. These strategies offer a controlled yet creative environment to simulate threats, assess vulnerabilities, and validate the effectiveness of defense mechanisms before they are deployed in real-world scenarios.</w:t>
      </w:r>
    </w:p>
    <w:p w14:paraId="5AC3D972"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"White Cell" teams are responsible for designing and overseeing exercises that test and evaluate the capabilities of defense systems in a variety of simulated operational environments. They set objectives, define the rules of engagement, and ensure that exercises are conducted in a manner that yields valuable insights into system performance and interoperability. This approach allows defense forces to understand how new technologies will function in the field and identify any adjustments needed to optimize their effectiveness.</w:t>
      </w:r>
    </w:p>
    <w:p w14:paraId="2679D125"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Conversely, "Red Team" strategies involve adopting an adversarial perspective, challenging existing defenses by exploiting vulnerabilities and employing tactics that a real-world opponent might use. This adversarial testing is crucial for exposing weaknesses that might not be apparent in standard evaluation protocols. By thinking like an adversary, "Red Teams" help to ensure that defense systems are not just theoretically sound but are also robust against the innovative and evolving tactics of potential adversaries.</w:t>
      </w:r>
    </w:p>
    <w:p w14:paraId="2A592D0B"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lastRenderedPageBreak/>
        <w:t>The synergistic application of these strategies enables the defense sector to anticipate threats, adapt to emerging challenges, and ensure that when new technologies are deployed, they have been rigorously tested and proven resilient. This process fosters a culture of continuous improvement, where feedback loops from these exercises directly inform the next cycle of development and modernization.</w:t>
      </w:r>
    </w:p>
    <w:p w14:paraId="3A21C61B"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5D72E3">
        <w:rPr>
          <w:rFonts w:ascii="Segoe UI" w:eastAsia="Times New Roman" w:hAnsi="Segoe UI" w:cs="Segoe UI"/>
          <w:b/>
          <w:bCs/>
          <w:color w:val="0D0D0D"/>
          <w:kern w:val="0"/>
          <w:sz w:val="30"/>
          <w:szCs w:val="30"/>
          <w14:ligatures w14:val="none"/>
        </w:rPr>
        <w:t>Conclusion</w:t>
      </w:r>
    </w:p>
    <w:p w14:paraId="3CB9BBBF"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The journey toward agile modernization in defense technology is complex and multifaceted, involving more than just the adoption of new technologies. It requires a fundamental shift in processes, policies, and mindsets. From overcoming bureaucratic inertia and enhancing edge connectivity to embracing dual-use technologies, strengthening joint and coalition capabilities, and applying rigorous testing strategies, each step forward marks significant progress in preparing our defense forces for the challenges of the future.</w:t>
      </w:r>
    </w:p>
    <w:p w14:paraId="3C64623B"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As we continue to navigate this path, the role of steadfast leadership cannot be overstated. It is the catalyst that will drive the defense sector to not only envision a more agile, interoperable, and technologically advanced future but to make it a reality. Leaders must work to focus efforts, define clear lanes for collaboration and innovation, and push for the delivery of minimum viable solutions that can be rapidly developed, tested, and deployed.</w:t>
      </w:r>
    </w:p>
    <w:p w14:paraId="72195516" w14:textId="77777777" w:rsidR="005D72E3" w:rsidRPr="005D72E3" w:rsidRDefault="005D72E3" w:rsidP="005D72E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5D72E3">
        <w:rPr>
          <w:rFonts w:ascii="Segoe UI" w:eastAsia="Times New Roman" w:hAnsi="Segoe UI" w:cs="Segoe UI"/>
          <w:color w:val="0D0D0D"/>
          <w:kern w:val="0"/>
          <w:sz w:val="24"/>
          <w:szCs w:val="24"/>
          <w14:ligatures w14:val="none"/>
        </w:rPr>
        <w:t>This approach ensures that the defense sector remains at the forefront of technological innovation, ready to adapt and respond to the ever-changing landscape of global security threats. By embracing agility, fostering collaboration, and committing to continuous improvement, we can ensure that our defense capabilities are not only modernized but are also resilient, responsive, and ready to meet the demands of the 21st century and beyond.</w:t>
      </w:r>
    </w:p>
    <w:p w14:paraId="45860356" w14:textId="77777777" w:rsidR="00D66DEC" w:rsidRDefault="00D66DEC"/>
    <w:sectPr w:rsidR="00D6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E3"/>
    <w:rsid w:val="00414B1B"/>
    <w:rsid w:val="005D72E3"/>
    <w:rsid w:val="00B40B1E"/>
    <w:rsid w:val="00D6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5011"/>
  <w15:chartTrackingRefBased/>
  <w15:docId w15:val="{FAD35B3C-74D0-449F-A23A-8B11FAF6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7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7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2E3"/>
    <w:rPr>
      <w:rFonts w:eastAsiaTheme="majorEastAsia" w:cstheme="majorBidi"/>
      <w:color w:val="272727" w:themeColor="text1" w:themeTint="D8"/>
    </w:rPr>
  </w:style>
  <w:style w:type="paragraph" w:styleId="Title">
    <w:name w:val="Title"/>
    <w:basedOn w:val="Normal"/>
    <w:next w:val="Normal"/>
    <w:link w:val="TitleChar"/>
    <w:uiPriority w:val="10"/>
    <w:qFormat/>
    <w:rsid w:val="005D7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2E3"/>
    <w:pPr>
      <w:spacing w:before="160"/>
      <w:jc w:val="center"/>
    </w:pPr>
    <w:rPr>
      <w:i/>
      <w:iCs/>
      <w:color w:val="404040" w:themeColor="text1" w:themeTint="BF"/>
    </w:rPr>
  </w:style>
  <w:style w:type="character" w:customStyle="1" w:styleId="QuoteChar">
    <w:name w:val="Quote Char"/>
    <w:basedOn w:val="DefaultParagraphFont"/>
    <w:link w:val="Quote"/>
    <w:uiPriority w:val="29"/>
    <w:rsid w:val="005D72E3"/>
    <w:rPr>
      <w:i/>
      <w:iCs/>
      <w:color w:val="404040" w:themeColor="text1" w:themeTint="BF"/>
    </w:rPr>
  </w:style>
  <w:style w:type="paragraph" w:styleId="ListParagraph">
    <w:name w:val="List Paragraph"/>
    <w:basedOn w:val="Normal"/>
    <w:uiPriority w:val="34"/>
    <w:qFormat/>
    <w:rsid w:val="005D72E3"/>
    <w:pPr>
      <w:ind w:left="720"/>
      <w:contextualSpacing/>
    </w:pPr>
  </w:style>
  <w:style w:type="character" w:styleId="IntenseEmphasis">
    <w:name w:val="Intense Emphasis"/>
    <w:basedOn w:val="DefaultParagraphFont"/>
    <w:uiPriority w:val="21"/>
    <w:qFormat/>
    <w:rsid w:val="005D72E3"/>
    <w:rPr>
      <w:i/>
      <w:iCs/>
      <w:color w:val="0F4761" w:themeColor="accent1" w:themeShade="BF"/>
    </w:rPr>
  </w:style>
  <w:style w:type="paragraph" w:styleId="IntenseQuote">
    <w:name w:val="Intense Quote"/>
    <w:basedOn w:val="Normal"/>
    <w:next w:val="Normal"/>
    <w:link w:val="IntenseQuoteChar"/>
    <w:uiPriority w:val="30"/>
    <w:qFormat/>
    <w:rsid w:val="005D7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2E3"/>
    <w:rPr>
      <w:i/>
      <w:iCs/>
      <w:color w:val="0F4761" w:themeColor="accent1" w:themeShade="BF"/>
    </w:rPr>
  </w:style>
  <w:style w:type="character" w:styleId="IntenseReference">
    <w:name w:val="Intense Reference"/>
    <w:basedOn w:val="DefaultParagraphFont"/>
    <w:uiPriority w:val="32"/>
    <w:qFormat/>
    <w:rsid w:val="005D72E3"/>
    <w:rPr>
      <w:b/>
      <w:bCs/>
      <w:smallCaps/>
      <w:color w:val="0F4761" w:themeColor="accent1" w:themeShade="BF"/>
      <w:spacing w:val="5"/>
    </w:rPr>
  </w:style>
  <w:style w:type="paragraph" w:styleId="NormalWeb">
    <w:name w:val="Normal (Web)"/>
    <w:basedOn w:val="Normal"/>
    <w:uiPriority w:val="99"/>
    <w:semiHidden/>
    <w:unhideWhenUsed/>
    <w:rsid w:val="005D72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6103">
      <w:bodyDiv w:val="1"/>
      <w:marLeft w:val="0"/>
      <w:marRight w:val="0"/>
      <w:marTop w:val="0"/>
      <w:marBottom w:val="0"/>
      <w:divBdr>
        <w:top w:val="none" w:sz="0" w:space="0" w:color="auto"/>
        <w:left w:val="none" w:sz="0" w:space="0" w:color="auto"/>
        <w:bottom w:val="none" w:sz="0" w:space="0" w:color="auto"/>
        <w:right w:val="none" w:sz="0" w:space="0" w:color="auto"/>
      </w:divBdr>
    </w:div>
    <w:div w:id="287591340">
      <w:bodyDiv w:val="1"/>
      <w:marLeft w:val="0"/>
      <w:marRight w:val="0"/>
      <w:marTop w:val="0"/>
      <w:marBottom w:val="0"/>
      <w:divBdr>
        <w:top w:val="none" w:sz="0" w:space="0" w:color="auto"/>
        <w:left w:val="none" w:sz="0" w:space="0" w:color="auto"/>
        <w:bottom w:val="none" w:sz="0" w:space="0" w:color="auto"/>
        <w:right w:val="none" w:sz="0" w:space="0" w:color="auto"/>
      </w:divBdr>
    </w:div>
    <w:div w:id="755594083">
      <w:bodyDiv w:val="1"/>
      <w:marLeft w:val="0"/>
      <w:marRight w:val="0"/>
      <w:marTop w:val="0"/>
      <w:marBottom w:val="0"/>
      <w:divBdr>
        <w:top w:val="none" w:sz="0" w:space="0" w:color="auto"/>
        <w:left w:val="none" w:sz="0" w:space="0" w:color="auto"/>
        <w:bottom w:val="none" w:sz="0" w:space="0" w:color="auto"/>
        <w:right w:val="none" w:sz="0" w:space="0" w:color="auto"/>
      </w:divBdr>
    </w:div>
    <w:div w:id="1412697770">
      <w:bodyDiv w:val="1"/>
      <w:marLeft w:val="0"/>
      <w:marRight w:val="0"/>
      <w:marTop w:val="0"/>
      <w:marBottom w:val="0"/>
      <w:divBdr>
        <w:top w:val="none" w:sz="0" w:space="0" w:color="auto"/>
        <w:left w:val="none" w:sz="0" w:space="0" w:color="auto"/>
        <w:bottom w:val="none" w:sz="0" w:space="0" w:color="auto"/>
        <w:right w:val="none" w:sz="0" w:space="0" w:color="auto"/>
      </w:divBdr>
    </w:div>
    <w:div w:id="1633362757">
      <w:bodyDiv w:val="1"/>
      <w:marLeft w:val="0"/>
      <w:marRight w:val="0"/>
      <w:marTop w:val="0"/>
      <w:marBottom w:val="0"/>
      <w:divBdr>
        <w:top w:val="none" w:sz="0" w:space="0" w:color="auto"/>
        <w:left w:val="none" w:sz="0" w:space="0" w:color="auto"/>
        <w:bottom w:val="none" w:sz="0" w:space="0" w:color="auto"/>
        <w:right w:val="none" w:sz="0" w:space="0" w:color="auto"/>
      </w:divBdr>
    </w:div>
    <w:div w:id="16635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Garcia</dc:creator>
  <cp:keywords/>
  <dc:description/>
  <cp:lastModifiedBy>Paul Garcia</cp:lastModifiedBy>
  <cp:revision>1</cp:revision>
  <dcterms:created xsi:type="dcterms:W3CDTF">2024-04-02T20:04:00Z</dcterms:created>
  <dcterms:modified xsi:type="dcterms:W3CDTF">2024-04-02T20:12:00Z</dcterms:modified>
</cp:coreProperties>
</file>