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32: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38ecfa8bd1d9931fb6f8cd8559cb494816d89b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1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26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5.5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11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[3.3, 2.2]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во 2 случае: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26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5.5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11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 *u[1] * u[2] - a1 / c1*u[1] * u[1]</w:t>
      </w:r>
      <w:r>
        <w:br/>
      </w:r>
      <w:r>
        <w:rPr>
          <w:rStyle w:val="VerbatimChar"/>
        </w:rPr>
        <w:t xml:space="preserve">    du[2] = c2 / c1*u[2] - (b / c1 + 0.00033)*u[1]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[3.3, 2.2]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3"/>
    <w:bookmarkStart w:id="32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следующих рисунках изображены итоговые графики.(рис.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Figure 1: График в 1 случа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График в 1 случае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График во 2 случа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График во 2 случае</w:t>
      </w:r>
    </w:p>
    <w:bookmarkEnd w:id="0"/>
    <w:bookmarkEnd w:id="32"/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и построена конкуренции двух фирм на языке Julia.</w:t>
      </w:r>
    </w:p>
    <w:bookmarkEnd w:id="35"/>
    <w:bookmarkStart w:id="3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p>
      <w:pPr>
        <w:pStyle w:val="BodyText"/>
      </w:pPr>
      <w:r>
        <w:t xml:space="preserve">[3] Мальтузианская модель роста: https://www.stolaf.edu//people/mckelvey/envision.dir/malthus.html</w:t>
      </w:r>
    </w:p>
    <w:p>
      <w:pPr>
        <w:pStyle w:val="BodyText"/>
      </w:pPr>
      <w:r>
        <w:t xml:space="preserve">[4]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[5]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2024-03-30T18:12:05Z</dcterms:created>
  <dcterms:modified xsi:type="dcterms:W3CDTF">2024-03-30T18:12:05Z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