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8281C" w:rsidRPr="00053D5C" w:rsidRDefault="00000000" w:rsidP="00053D5C">
      <w:pPr>
        <w:spacing w:after="80"/>
        <w:jc w:val="center"/>
      </w:pPr>
      <w:r>
        <w:rPr>
          <w:b/>
          <w:color w:val="000000"/>
          <w:sz w:val="56"/>
        </w:rPr>
        <w:t>钢包重排包评价体系建立</w:t>
      </w:r>
    </w:p>
    <w:p w:rsidR="00E8281C" w:rsidRDefault="00000000">
      <w:pPr>
        <w:pStyle w:val="2"/>
        <w:keepNext/>
        <w:spacing w:before="180" w:after="100"/>
        <w:rPr>
          <w:rFonts w:hint="default"/>
        </w:rPr>
      </w:pPr>
      <w:r>
        <w:rPr>
          <w:color w:val="000000"/>
        </w:rPr>
        <w:t>1 当前系统状态</w:t>
      </w:r>
    </w:p>
    <w:tbl>
      <w:tblPr>
        <w:tblW w:w="950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7400"/>
      </w:tblGrid>
      <w:tr w:rsidR="00E8281C">
        <w:trPr>
          <w:tblHeader/>
          <w:jc w:val="center"/>
        </w:trPr>
        <w:tc>
          <w:tcPr>
            <w:tcW w:w="21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8281C" w:rsidRDefault="00000000">
            <w:pPr>
              <w:spacing w:after="100"/>
              <w:jc w:val="center"/>
              <w:rPr>
                <w:rFonts w:hint="default"/>
              </w:rPr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w="74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8281C" w:rsidRDefault="00000000">
            <w:pPr>
              <w:spacing w:after="100"/>
              <w:jc w:val="center"/>
              <w:rPr>
                <w:rFonts w:hint="default"/>
              </w:rPr>
            </w:pPr>
            <w:r>
              <w:rPr>
                <w:b/>
                <w:color w:val="FFFFFF"/>
                <w:sz w:val="19"/>
              </w:rPr>
              <w:t>当前结果</w:t>
            </w:r>
          </w:p>
        </w:tc>
      </w:tr>
      <w:tr w:rsidR="00E8281C">
        <w:trPr>
          <w:jc w:val="center"/>
        </w:trPr>
        <w:tc>
          <w:tcPr>
            <w:tcW w:w="21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Default="00000000">
            <w:pPr>
              <w:spacing w:after="100"/>
              <w:jc w:val="center"/>
              <w:rPr>
                <w:rFonts w:hint="default"/>
              </w:rPr>
            </w:pPr>
            <w:r>
              <w:rPr>
                <w:color w:val="000000"/>
                <w:sz w:val="19"/>
              </w:rPr>
              <w:t>全量预配包</w:t>
            </w:r>
          </w:p>
        </w:tc>
        <w:tc>
          <w:tcPr>
            <w:tcW w:w="74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Default="00000000">
            <w:pPr>
              <w:spacing w:after="100"/>
              <w:jc w:val="center"/>
              <w:rPr>
                <w:rFonts w:hint="default"/>
              </w:rPr>
            </w:pPr>
            <w:r>
              <w:rPr>
                <w:color w:val="000000"/>
                <w:sz w:val="19"/>
              </w:rPr>
              <w:t>真实 PLAN</w:t>
            </w:r>
            <w:r w:rsidR="00053D5C">
              <w:rPr>
                <w:color w:val="000000"/>
                <w:sz w:val="19"/>
              </w:rPr>
              <w:t>中的</w:t>
            </w:r>
            <w:r>
              <w:rPr>
                <w:color w:val="000000"/>
                <w:sz w:val="19"/>
              </w:rPr>
              <w:t>469 行中纳入评测 457 炉；决策树基线 457/457，规则违反 0</w:t>
            </w:r>
          </w:p>
        </w:tc>
      </w:tr>
      <w:tr w:rsidR="00E8281C">
        <w:trPr>
          <w:jc w:val="center"/>
        </w:trPr>
        <w:tc>
          <w:tcPr>
            <w:tcW w:w="21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Default="00000000">
            <w:pPr>
              <w:spacing w:after="100"/>
              <w:jc w:val="center"/>
              <w:rPr>
                <w:rFonts w:hint="default"/>
              </w:rPr>
            </w:pPr>
            <w:r>
              <w:rPr>
                <w:color w:val="000000"/>
                <w:sz w:val="19"/>
              </w:rPr>
              <w:t>生产响应</w:t>
            </w:r>
          </w:p>
        </w:tc>
        <w:tc>
          <w:tcPr>
            <w:tcW w:w="74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Default="00000000">
            <w:pPr>
              <w:spacing w:after="100"/>
              <w:jc w:val="center"/>
              <w:rPr>
                <w:rFonts w:hint="default"/>
              </w:rPr>
            </w:pPr>
            <w:r>
              <w:rPr>
                <w:color w:val="000000"/>
                <w:sz w:val="19"/>
              </w:rPr>
              <w:t>滑窗推进；扰动只打开当前时刻附近的局部炉次窗口</w:t>
            </w:r>
          </w:p>
        </w:tc>
      </w:tr>
      <w:tr w:rsidR="00E8281C">
        <w:trPr>
          <w:jc w:val="center"/>
        </w:trPr>
        <w:tc>
          <w:tcPr>
            <w:tcW w:w="21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Default="00000000">
            <w:pPr>
              <w:spacing w:after="100"/>
              <w:jc w:val="center"/>
              <w:rPr>
                <w:rFonts w:hint="default"/>
              </w:rPr>
            </w:pPr>
            <w:r>
              <w:rPr>
                <w:color w:val="000000"/>
                <w:sz w:val="19"/>
              </w:rPr>
              <w:t>Codex 角色</w:t>
            </w:r>
          </w:p>
        </w:tc>
        <w:tc>
          <w:tcPr>
            <w:tcW w:w="74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Default="00000000">
            <w:pPr>
              <w:spacing w:after="100"/>
              <w:jc w:val="center"/>
              <w:rPr>
                <w:rFonts w:hint="default"/>
              </w:rPr>
            </w:pPr>
            <w:r>
              <w:rPr>
                <w:color w:val="000000"/>
                <w:sz w:val="19"/>
              </w:rPr>
              <w:t>决策树失败且扣除 90 s 安全余量后仍有可用预算时介入，输出可审计的替代配包方案</w:t>
            </w:r>
          </w:p>
        </w:tc>
      </w:tr>
    </w:tbl>
    <w:p w:rsidR="00E8281C" w:rsidRDefault="00E8281C">
      <w:pPr>
        <w:spacing w:after="20"/>
      </w:pPr>
    </w:p>
    <w:p w:rsidR="00E8281C" w:rsidRDefault="00000000">
      <w:pPr>
        <w:pStyle w:val="1"/>
        <w:keepNext/>
        <w:spacing w:before="280" w:after="100"/>
        <w:rPr>
          <w:rFonts w:hint="default"/>
        </w:rPr>
      </w:pPr>
      <w:r>
        <w:rPr>
          <w:color w:val="000000"/>
        </w:rPr>
        <w:t>2. 处理流程</w:t>
      </w:r>
    </w:p>
    <w:p w:rsidR="00E8281C" w:rsidRDefault="00000000">
      <w:pPr>
        <w:pStyle w:val="2"/>
        <w:keepNext/>
        <w:spacing w:before="180" w:after="100"/>
        <w:rPr>
          <w:rFonts w:hint="default"/>
        </w:rPr>
      </w:pPr>
      <w:r>
        <w:rPr>
          <w:color w:val="000000"/>
        </w:rPr>
        <w:t>2.1 预配基线进入两条独立重排线路</w:t>
      </w:r>
    </w:p>
    <w:p w:rsidR="00E8281C" w:rsidRDefault="00000000">
      <w:pPr>
        <w:spacing w:after="40"/>
        <w:jc w:val="center"/>
        <w:rPr>
          <w:rFonts w:hint="default"/>
        </w:rPr>
      </w:pPr>
      <w:r>
        <w:rPr>
          <w:noProof/>
        </w:rPr>
        <w:drawing>
          <wp:inline distT="0" distB="0" distL="0" distR="0">
            <wp:extent cx="5943600" cy="3343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m-rescheduling-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81C" w:rsidRDefault="00000000">
      <w:pPr>
        <w:spacing w:after="120"/>
        <w:jc w:val="center"/>
        <w:rPr>
          <w:rFonts w:hint="default"/>
        </w:rPr>
      </w:pPr>
      <w:r>
        <w:rPr>
          <w:color w:val="666666"/>
          <w:sz w:val="18"/>
        </w:rPr>
        <w:lastRenderedPageBreak/>
        <w:t>图 1  真实数据压力回放中的局部重调度闭环</w:t>
      </w:r>
    </w:p>
    <w:p w:rsidR="00E8281C" w:rsidRDefault="00000000" w:rsidP="00053D5C">
      <w:pPr>
        <w:spacing w:after="100"/>
        <w:ind w:firstLineChars="200" w:firstLine="420"/>
        <w:rPr>
          <w:rFonts w:hint="default"/>
        </w:rPr>
      </w:pPr>
      <w:r>
        <w:rPr>
          <w:color w:val="000000"/>
        </w:rPr>
        <w:t>预配基线是唯一共同基线；决策树重排方案与 Codex 重排方案两条线路独立。Codex 不读取决策树输出，只在决策树失败后读取预配基线、事故状态、可用资源和约束。</w:t>
      </w:r>
    </w:p>
    <w:p w:rsidR="00E8281C" w:rsidRDefault="00000000">
      <w:pPr>
        <w:pStyle w:val="2"/>
        <w:keepNext/>
        <w:spacing w:before="180" w:after="100"/>
        <w:rPr>
          <w:rFonts w:hint="default"/>
        </w:rPr>
      </w:pPr>
      <w:r>
        <w:rPr>
          <w:color w:val="000000"/>
        </w:rPr>
        <w:t>2.2 评价指标体系</w:t>
      </w:r>
    </w:p>
    <w:p w:rsidR="00E8281C" w:rsidRDefault="00000000">
      <w:pPr>
        <w:spacing w:after="40"/>
        <w:jc w:val="center"/>
        <w:rPr>
          <w:rFonts w:hint="default"/>
        </w:rPr>
      </w:pPr>
      <w:r>
        <w:rPr>
          <w:noProof/>
        </w:rPr>
        <w:drawing>
          <wp:inline distT="0" distB="0" distL="0" distR="0">
            <wp:extent cx="5943600" cy="3343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aluation-indicator-syste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81C" w:rsidRDefault="00000000">
      <w:pPr>
        <w:spacing w:after="120"/>
        <w:jc w:val="center"/>
        <w:rPr>
          <w:rFonts w:hint="default"/>
        </w:rPr>
      </w:pPr>
      <w:r>
        <w:rPr>
          <w:color w:val="666666"/>
          <w:sz w:val="18"/>
        </w:rPr>
        <w:t>图 2  决策树与 Codex 的统一评价指标体系</w:t>
      </w:r>
    </w:p>
    <w:p w:rsidR="00E8281C" w:rsidRDefault="00000000" w:rsidP="00053D5C">
      <w:pPr>
        <w:spacing w:after="100"/>
        <w:ind w:firstLine="420"/>
        <w:rPr>
          <w:rFonts w:hint="default"/>
        </w:rPr>
      </w:pPr>
      <w:r>
        <w:rPr>
          <w:color w:val="000000"/>
        </w:rPr>
        <w:t>选择顺序只有一句话：先判能不能安全下发，再比按时率和延迟，最后比改配规模和资源稳定性。</w:t>
      </w:r>
    </w:p>
    <w:p w:rsidR="00E8281C" w:rsidRDefault="00053D5C">
      <w:pPr>
        <w:pStyle w:val="3"/>
        <w:keepNext/>
        <w:spacing w:before="180" w:after="100"/>
        <w:rPr>
          <w:rFonts w:hint="default"/>
        </w:rPr>
      </w:pPr>
      <w:r>
        <w:rPr>
          <w:b/>
          <w:color w:val="000000"/>
          <w:sz w:val="27"/>
        </w:rPr>
        <w:t>2</w:t>
      </w:r>
      <w:r>
        <w:rPr>
          <w:rFonts w:hint="default"/>
          <w:b/>
          <w:color w:val="000000"/>
          <w:sz w:val="27"/>
        </w:rPr>
        <w:t>.3</w:t>
      </w:r>
      <w:r w:rsidR="00000000">
        <w:rPr>
          <w:b/>
          <w:color w:val="000000"/>
          <w:sz w:val="27"/>
        </w:rPr>
        <w:t>安全可行性门槛</w:t>
      </w:r>
    </w:p>
    <w:tbl>
      <w:tblPr>
        <w:tblW w:w="9500" w:type="dxa"/>
        <w:jc w:val="center"/>
        <w:tblLayout w:type="fixed"/>
        <w:tblLook w:val="04A0" w:firstRow="1" w:lastRow="0" w:firstColumn="1" w:lastColumn="0" w:noHBand="0" w:noVBand="1"/>
      </w:tblPr>
      <w:tblGrid>
        <w:gridCol w:w="1250"/>
        <w:gridCol w:w="2050"/>
        <w:gridCol w:w="2050"/>
        <w:gridCol w:w="1250"/>
        <w:gridCol w:w="1450"/>
        <w:gridCol w:w="1450"/>
      </w:tblGrid>
      <w:tr w:rsidR="00E8281C">
        <w:trPr>
          <w:tblHeader/>
          <w:jc w:val="center"/>
        </w:trPr>
        <w:tc>
          <w:tcPr>
            <w:tcW w:w="125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8281C" w:rsidRDefault="00000000">
            <w:pPr>
              <w:spacing w:after="100"/>
              <w:jc w:val="center"/>
              <w:rPr>
                <w:rFonts w:hint="default"/>
              </w:rPr>
            </w:pPr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w="205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8281C" w:rsidRDefault="00000000">
            <w:pPr>
              <w:spacing w:after="100"/>
              <w:jc w:val="center"/>
              <w:rPr>
                <w:rFonts w:hint="default"/>
              </w:rPr>
            </w:pPr>
            <w:r>
              <w:rPr>
                <w:b/>
                <w:color w:val="FFFFFF"/>
                <w:sz w:val="16"/>
              </w:rPr>
              <w:t>含义</w:t>
            </w:r>
          </w:p>
        </w:tc>
        <w:tc>
          <w:tcPr>
            <w:tcW w:w="205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8281C" w:rsidRDefault="00000000">
            <w:pPr>
              <w:spacing w:after="100"/>
              <w:jc w:val="center"/>
              <w:rPr>
                <w:rFonts w:hint="default"/>
              </w:rPr>
            </w:pPr>
            <w:r>
              <w:rPr>
                <w:b/>
                <w:color w:val="FFFFFF"/>
                <w:sz w:val="16"/>
              </w:rPr>
              <w:t>计算方式</w:t>
            </w:r>
          </w:p>
        </w:tc>
        <w:tc>
          <w:tcPr>
            <w:tcW w:w="125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8281C" w:rsidRDefault="00000000">
            <w:pPr>
              <w:spacing w:after="100"/>
              <w:jc w:val="center"/>
              <w:rPr>
                <w:rFonts w:hint="default"/>
              </w:rPr>
            </w:pPr>
            <w:r>
              <w:rPr>
                <w:b/>
                <w:color w:val="FFFFFF"/>
                <w:sz w:val="16"/>
              </w:rPr>
              <w:t>判定方向</w:t>
            </w:r>
          </w:p>
        </w:tc>
        <w:tc>
          <w:tcPr>
            <w:tcW w:w="145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8281C" w:rsidRDefault="00000000">
            <w:pPr>
              <w:spacing w:after="100"/>
              <w:jc w:val="center"/>
              <w:rPr>
                <w:rFonts w:hint="default"/>
              </w:rPr>
            </w:pPr>
            <w:r>
              <w:rPr>
                <w:b/>
                <w:color w:val="FFFFFF"/>
                <w:sz w:val="16"/>
              </w:rPr>
              <w:t>决策树重排方案</w:t>
            </w:r>
          </w:p>
        </w:tc>
        <w:tc>
          <w:tcPr>
            <w:tcW w:w="145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8281C" w:rsidRDefault="00000000">
            <w:pPr>
              <w:spacing w:after="100"/>
              <w:jc w:val="center"/>
              <w:rPr>
                <w:rFonts w:hint="default"/>
              </w:rPr>
            </w:pPr>
            <w:r>
              <w:rPr>
                <w:b/>
                <w:color w:val="FFFFFF"/>
                <w:sz w:val="16"/>
              </w:rPr>
              <w:t>Codex 重排方案</w:t>
            </w:r>
          </w:p>
        </w:tc>
      </w:tr>
      <w:tr w:rsidR="00E8281C">
        <w:trPr>
          <w:jc w:val="center"/>
        </w:trPr>
        <w:tc>
          <w:tcPr>
            <w:tcW w:w="125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Default="00000000">
            <w:pPr>
              <w:spacing w:after="100"/>
              <w:jc w:val="center"/>
              <w:rPr>
                <w:rFonts w:hint="default"/>
              </w:rPr>
            </w:pPr>
            <w:r>
              <w:rPr>
                <w:color w:val="000000"/>
                <w:sz w:val="16"/>
              </w:rPr>
              <w:t>完整分配</w:t>
            </w:r>
          </w:p>
        </w:tc>
        <w:tc>
          <w:tcPr>
            <w:tcW w:w="205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Default="00000000">
            <w:pPr>
              <w:spacing w:after="100"/>
              <w:rPr>
                <w:rFonts w:hint="default"/>
              </w:rPr>
            </w:pPr>
            <w:r>
              <w:rPr>
                <w:color w:val="000000"/>
                <w:sz w:val="16"/>
              </w:rPr>
              <w:t>窗口内每炉都有钢包和行车</w:t>
            </w:r>
          </w:p>
        </w:tc>
        <w:tc>
          <w:tcPr>
            <w:tcW w:w="205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Default="00000000">
            <w:pPr>
              <w:spacing w:after="100"/>
              <w:rPr>
                <w:rFonts w:hint="default"/>
              </w:rPr>
            </w:pPr>
            <w:r>
              <w:rPr>
                <w:color w:val="000000"/>
                <w:sz w:val="16"/>
              </w:rPr>
              <w:t>已分配炉次 ÷ 窗口炉次</w:t>
            </w:r>
          </w:p>
        </w:tc>
        <w:tc>
          <w:tcPr>
            <w:tcW w:w="125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Default="00000000">
            <w:pPr>
              <w:spacing w:after="100"/>
              <w:rPr>
                <w:rFonts w:hint="default"/>
              </w:rPr>
            </w:pPr>
            <w:r>
              <w:rPr>
                <w:color w:val="000000"/>
                <w:sz w:val="16"/>
              </w:rPr>
              <w:t>必须等于 100%</w:t>
            </w:r>
          </w:p>
        </w:tc>
        <w:tc>
          <w:tcPr>
            <w:tcW w:w="145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Default="00000000">
            <w:pPr>
              <w:spacing w:after="100"/>
              <w:rPr>
                <w:rFonts w:hint="default"/>
              </w:rPr>
            </w:pPr>
            <w:r>
              <w:rPr>
                <w:color w:val="000000"/>
                <w:sz w:val="16"/>
              </w:rPr>
              <w:t>30/31，不通过</w:t>
            </w:r>
          </w:p>
        </w:tc>
        <w:tc>
          <w:tcPr>
            <w:tcW w:w="145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Default="00000000">
            <w:pPr>
              <w:spacing w:after="100"/>
              <w:rPr>
                <w:rFonts w:hint="default"/>
              </w:rPr>
            </w:pPr>
            <w:r>
              <w:rPr>
                <w:color w:val="000000"/>
                <w:sz w:val="16"/>
              </w:rPr>
              <w:t>31/31，通过</w:t>
            </w:r>
          </w:p>
        </w:tc>
      </w:tr>
      <w:tr w:rsidR="00E8281C">
        <w:trPr>
          <w:jc w:val="center"/>
        </w:trPr>
        <w:tc>
          <w:tcPr>
            <w:tcW w:w="125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Default="00000000">
            <w:pPr>
              <w:spacing w:after="100"/>
              <w:jc w:val="center"/>
              <w:rPr>
                <w:rFonts w:hint="default"/>
              </w:rPr>
            </w:pPr>
            <w:r>
              <w:rPr>
                <w:color w:val="000000"/>
                <w:sz w:val="16"/>
              </w:rPr>
              <w:t>硬约束违反</w:t>
            </w:r>
          </w:p>
        </w:tc>
        <w:tc>
          <w:tcPr>
            <w:tcW w:w="205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Default="00000000">
            <w:pPr>
              <w:spacing w:after="100"/>
              <w:rPr>
                <w:rFonts w:hint="default"/>
              </w:rPr>
            </w:pPr>
            <w:r>
              <w:rPr>
                <w:color w:val="000000"/>
                <w:sz w:val="16"/>
              </w:rPr>
              <w:t>检查钢包、行车、时间、位置、路线、负载和安全</w:t>
            </w:r>
            <w:r>
              <w:rPr>
                <w:color w:val="000000"/>
                <w:sz w:val="16"/>
              </w:rPr>
              <w:lastRenderedPageBreak/>
              <w:t>距离</w:t>
            </w:r>
          </w:p>
        </w:tc>
        <w:tc>
          <w:tcPr>
            <w:tcW w:w="205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Default="00000000">
            <w:pPr>
              <w:spacing w:after="100"/>
              <w:rPr>
                <w:rFonts w:hint="default"/>
              </w:rPr>
            </w:pPr>
            <w:r>
              <w:rPr>
                <w:color w:val="000000"/>
                <w:sz w:val="16"/>
              </w:rPr>
              <w:lastRenderedPageBreak/>
              <w:t>所有违规项计数</w:t>
            </w:r>
          </w:p>
        </w:tc>
        <w:tc>
          <w:tcPr>
            <w:tcW w:w="125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Default="00000000">
            <w:pPr>
              <w:spacing w:after="100"/>
              <w:rPr>
                <w:rFonts w:hint="default"/>
              </w:rPr>
            </w:pPr>
            <w:r>
              <w:rPr>
                <w:color w:val="000000"/>
                <w:sz w:val="16"/>
              </w:rPr>
              <w:t>必须等于 0</w:t>
            </w:r>
          </w:p>
        </w:tc>
        <w:tc>
          <w:tcPr>
            <w:tcW w:w="145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Default="00000000">
            <w:pPr>
              <w:spacing w:after="100"/>
              <w:rPr>
                <w:rFonts w:hint="default"/>
              </w:rPr>
            </w:pPr>
            <w:r>
              <w:rPr>
                <w:color w:val="000000"/>
                <w:sz w:val="16"/>
              </w:rPr>
              <w:t>1，不通过</w:t>
            </w:r>
          </w:p>
        </w:tc>
        <w:tc>
          <w:tcPr>
            <w:tcW w:w="145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Default="00000000">
            <w:pPr>
              <w:spacing w:after="100"/>
              <w:rPr>
                <w:rFonts w:hint="default"/>
              </w:rPr>
            </w:pPr>
            <w:r>
              <w:rPr>
                <w:color w:val="000000"/>
                <w:sz w:val="16"/>
              </w:rPr>
              <w:t>0，通过</w:t>
            </w:r>
          </w:p>
        </w:tc>
      </w:tr>
      <w:tr w:rsidR="00E8281C">
        <w:trPr>
          <w:jc w:val="center"/>
        </w:trPr>
        <w:tc>
          <w:tcPr>
            <w:tcW w:w="125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Default="00000000">
            <w:pPr>
              <w:spacing w:after="100"/>
              <w:jc w:val="center"/>
              <w:rPr>
                <w:rFonts w:hint="default"/>
              </w:rPr>
            </w:pPr>
            <w:r>
              <w:rPr>
                <w:color w:val="000000"/>
                <w:sz w:val="16"/>
              </w:rPr>
              <w:t>资源与路线合法性</w:t>
            </w:r>
          </w:p>
        </w:tc>
        <w:tc>
          <w:tcPr>
            <w:tcW w:w="205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Default="00000000">
            <w:pPr>
              <w:spacing w:after="100"/>
              <w:rPr>
                <w:rFonts w:hint="default"/>
              </w:rPr>
            </w:pPr>
            <w:r>
              <w:rPr>
                <w:color w:val="000000"/>
                <w:sz w:val="16"/>
              </w:rPr>
              <w:t>分配的钢包、行车和运输路线必须在当前快照中可用</w:t>
            </w:r>
          </w:p>
        </w:tc>
        <w:tc>
          <w:tcPr>
            <w:tcW w:w="205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Default="00000000">
            <w:pPr>
              <w:spacing w:after="100"/>
              <w:rPr>
                <w:rFonts w:hint="default"/>
              </w:rPr>
            </w:pPr>
            <w:r>
              <w:rPr>
                <w:color w:val="000000"/>
                <w:sz w:val="16"/>
              </w:rPr>
              <w:t>逐炉校验资源存在且路线可达</w:t>
            </w:r>
          </w:p>
        </w:tc>
        <w:tc>
          <w:tcPr>
            <w:tcW w:w="125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Default="00000000">
            <w:pPr>
              <w:spacing w:after="100"/>
              <w:rPr>
                <w:rFonts w:hint="default"/>
              </w:rPr>
            </w:pPr>
            <w:r>
              <w:rPr>
                <w:color w:val="000000"/>
                <w:sz w:val="16"/>
              </w:rPr>
              <w:t>任一违规即不可下发</w:t>
            </w:r>
          </w:p>
        </w:tc>
        <w:tc>
          <w:tcPr>
            <w:tcW w:w="145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Default="00000000">
            <w:pPr>
              <w:spacing w:after="100"/>
              <w:rPr>
                <w:rFonts w:hint="default"/>
              </w:rPr>
            </w:pPr>
            <w:r>
              <w:rPr>
                <w:color w:val="000000"/>
                <w:sz w:val="16"/>
              </w:rPr>
              <w:t>存在未满足项</w:t>
            </w:r>
          </w:p>
        </w:tc>
        <w:tc>
          <w:tcPr>
            <w:tcW w:w="145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Default="00000000">
            <w:pPr>
              <w:spacing w:after="100"/>
              <w:rPr>
                <w:rFonts w:hint="default"/>
              </w:rPr>
            </w:pPr>
            <w:r>
              <w:rPr>
                <w:color w:val="000000"/>
                <w:sz w:val="16"/>
              </w:rPr>
              <w:t>全部满足</w:t>
            </w:r>
          </w:p>
        </w:tc>
      </w:tr>
    </w:tbl>
    <w:p w:rsidR="00E8281C" w:rsidRDefault="00000000">
      <w:pPr>
        <w:pStyle w:val="2"/>
        <w:keepNext/>
        <w:spacing w:before="180" w:after="100"/>
        <w:rPr>
          <w:rFonts w:hint="default"/>
        </w:rPr>
      </w:pPr>
      <w:r>
        <w:rPr>
          <w:color w:val="000000"/>
        </w:rPr>
        <w:t>2.</w:t>
      </w:r>
      <w:r w:rsidR="00053D5C">
        <w:rPr>
          <w:rFonts w:hint="default"/>
          <w:color w:val="000000"/>
        </w:rPr>
        <w:t>4</w:t>
      </w:r>
      <w:r>
        <w:rPr>
          <w:color w:val="000000"/>
        </w:rPr>
        <w:t xml:space="preserve"> 关键判断</w:t>
      </w:r>
    </w:p>
    <w:p w:rsidR="00E8281C" w:rsidRDefault="00000000" w:rsidP="00053D5C">
      <w:pPr>
        <w:keepLines/>
        <w:spacing w:after="100"/>
        <w:ind w:firstLineChars="200" w:firstLine="420"/>
      </w:pPr>
      <w:r>
        <w:rPr>
          <w:color w:val="000000"/>
        </w:rPr>
        <w:t>本次事件发生在 11:00；最早开浇前还有 313.1 s，扣除 90 s 安全余量后仍有 223.1 s 可用预算，因此允许 Codex 介入。若扣除安全余量后可用预算不大于 0，则不进入 Codex，保留人工升级路径。</w:t>
      </w:r>
      <w:r w:rsidR="00010912">
        <w:rPr>
          <w:color w:val="000000"/>
        </w:rPr>
        <w:t>（人工兜底）</w:t>
      </w:r>
    </w:p>
    <w:p w:rsidR="00E8281C" w:rsidRDefault="00000000">
      <w:pPr>
        <w:pStyle w:val="1"/>
        <w:keepNext/>
        <w:spacing w:before="280" w:after="100"/>
        <w:rPr>
          <w:rFonts w:hint="default"/>
        </w:rPr>
      </w:pPr>
      <w:r>
        <w:rPr>
          <w:color w:val="000000"/>
        </w:rPr>
        <w:t>3. 真实实验结果</w:t>
      </w:r>
    </w:p>
    <w:tbl>
      <w:tblPr>
        <w:tblW w:w="9500" w:type="dxa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6500"/>
      </w:tblGrid>
      <w:tr w:rsidR="00E8281C">
        <w:trPr>
          <w:tblHeader/>
          <w:jc w:val="center"/>
        </w:trPr>
        <w:tc>
          <w:tcPr>
            <w:tcW w:w="30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8281C" w:rsidRPr="00F34A87" w:rsidRDefault="00000000">
            <w:pPr>
              <w:spacing w:after="100"/>
              <w:jc w:val="center"/>
              <w:rPr>
                <w:rFonts w:hint="default"/>
              </w:rPr>
            </w:pPr>
            <w:r w:rsidRPr="00F34A87">
              <w:rPr>
                <w:b/>
                <w:color w:val="FFFFFF"/>
                <w:sz w:val="19"/>
              </w:rPr>
              <w:t>指标</w:t>
            </w:r>
          </w:p>
        </w:tc>
        <w:tc>
          <w:tcPr>
            <w:tcW w:w="65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8281C" w:rsidRPr="00F34A87" w:rsidRDefault="00000000">
            <w:pPr>
              <w:spacing w:after="100"/>
              <w:jc w:val="center"/>
              <w:rPr>
                <w:rFonts w:hint="default"/>
              </w:rPr>
            </w:pPr>
            <w:r w:rsidRPr="00F34A87">
              <w:rPr>
                <w:b/>
                <w:color w:val="FFFFFF"/>
                <w:sz w:val="19"/>
              </w:rPr>
              <w:t>结果</w:t>
            </w:r>
            <w:r w:rsidR="00F34A87">
              <w:rPr>
                <w:b/>
                <w:color w:val="FFFFFF"/>
                <w:sz w:val="19"/>
              </w:rPr>
              <w:t>·</w:t>
            </w:r>
          </w:p>
        </w:tc>
      </w:tr>
      <w:tr w:rsidR="00E8281C">
        <w:trPr>
          <w:jc w:val="center"/>
        </w:trPr>
        <w:tc>
          <w:tcPr>
            <w:tcW w:w="30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Pr="00F34A87" w:rsidRDefault="00000000">
            <w:pPr>
              <w:spacing w:after="100"/>
              <w:jc w:val="center"/>
              <w:rPr>
                <w:rFonts w:hint="default"/>
              </w:rPr>
            </w:pPr>
            <w:r w:rsidRPr="00F34A87">
              <w:rPr>
                <w:color w:val="000000"/>
                <w:sz w:val="19"/>
              </w:rPr>
              <w:t>数据范围</w:t>
            </w:r>
          </w:p>
        </w:tc>
        <w:tc>
          <w:tcPr>
            <w:tcW w:w="65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Default="00000000">
            <w:pPr>
              <w:spacing w:after="100"/>
              <w:jc w:val="center"/>
              <w:rPr>
                <w:rFonts w:hint="default"/>
              </w:rPr>
            </w:pPr>
            <w:r>
              <w:rPr>
                <w:color w:val="000000"/>
                <w:sz w:val="19"/>
              </w:rPr>
              <w:t>PLAN 469 行；纳入评测 457 炉</w:t>
            </w:r>
          </w:p>
        </w:tc>
      </w:tr>
      <w:tr w:rsidR="00E8281C">
        <w:trPr>
          <w:jc w:val="center"/>
        </w:trPr>
        <w:tc>
          <w:tcPr>
            <w:tcW w:w="30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Pr="00F34A87" w:rsidRDefault="00000000">
            <w:pPr>
              <w:spacing w:after="100"/>
              <w:jc w:val="center"/>
              <w:rPr>
                <w:rFonts w:hint="default"/>
              </w:rPr>
            </w:pPr>
            <w:r w:rsidRPr="00F34A87">
              <w:rPr>
                <w:color w:val="000000"/>
                <w:sz w:val="19"/>
              </w:rPr>
              <w:t>真实资源</w:t>
            </w:r>
          </w:p>
        </w:tc>
        <w:tc>
          <w:tcPr>
            <w:tcW w:w="65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Default="00000000">
            <w:pPr>
              <w:spacing w:after="100"/>
              <w:jc w:val="center"/>
              <w:rPr>
                <w:rFonts w:hint="default"/>
              </w:rPr>
            </w:pPr>
            <w:r>
              <w:rPr>
                <w:color w:val="000000"/>
                <w:sz w:val="19"/>
              </w:rPr>
              <w:t>34 个钢包；10 台行车</w:t>
            </w:r>
          </w:p>
        </w:tc>
      </w:tr>
      <w:tr w:rsidR="00E8281C">
        <w:trPr>
          <w:jc w:val="center"/>
        </w:trPr>
        <w:tc>
          <w:tcPr>
            <w:tcW w:w="30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Pr="00F34A87" w:rsidRDefault="00000000">
            <w:pPr>
              <w:spacing w:after="100"/>
              <w:jc w:val="center"/>
              <w:rPr>
                <w:rFonts w:hint="default"/>
              </w:rPr>
            </w:pPr>
            <w:r w:rsidRPr="00F34A87">
              <w:rPr>
                <w:color w:val="000000"/>
                <w:sz w:val="19"/>
              </w:rPr>
              <w:t>局部窗口</w:t>
            </w:r>
          </w:p>
        </w:tc>
        <w:tc>
          <w:tcPr>
            <w:tcW w:w="65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Default="00000000">
            <w:pPr>
              <w:spacing w:after="100"/>
              <w:jc w:val="center"/>
              <w:rPr>
                <w:rFonts w:hint="default"/>
              </w:rPr>
            </w:pPr>
            <w:r>
              <w:rPr>
                <w:color w:val="000000"/>
                <w:sz w:val="19"/>
              </w:rPr>
              <w:t>11:00–11:20，共 31 炉</w:t>
            </w:r>
          </w:p>
        </w:tc>
      </w:tr>
      <w:tr w:rsidR="00E8281C">
        <w:trPr>
          <w:jc w:val="center"/>
        </w:trPr>
        <w:tc>
          <w:tcPr>
            <w:tcW w:w="30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Pr="00F34A87" w:rsidRDefault="00000000">
            <w:pPr>
              <w:spacing w:after="100"/>
              <w:jc w:val="center"/>
              <w:rPr>
                <w:rFonts w:hint="default"/>
              </w:rPr>
            </w:pPr>
            <w:r w:rsidRPr="00F34A87">
              <w:rPr>
                <w:color w:val="000000"/>
                <w:sz w:val="19"/>
              </w:rPr>
              <w:t>决策树重排方案</w:t>
            </w:r>
          </w:p>
        </w:tc>
        <w:tc>
          <w:tcPr>
            <w:tcW w:w="65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Default="00000000">
            <w:pPr>
              <w:spacing w:after="100"/>
              <w:jc w:val="center"/>
              <w:rPr>
                <w:rFonts w:hint="default"/>
              </w:rPr>
            </w:pPr>
            <w:r>
              <w:rPr>
                <w:color w:val="000000"/>
                <w:sz w:val="19"/>
              </w:rPr>
              <w:t>30/31</w:t>
            </w:r>
          </w:p>
        </w:tc>
      </w:tr>
      <w:tr w:rsidR="00E8281C">
        <w:trPr>
          <w:jc w:val="center"/>
        </w:trPr>
        <w:tc>
          <w:tcPr>
            <w:tcW w:w="30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Pr="00F34A87" w:rsidRDefault="00000000">
            <w:pPr>
              <w:spacing w:after="100"/>
              <w:jc w:val="center"/>
              <w:rPr>
                <w:rFonts w:hint="default"/>
              </w:rPr>
            </w:pPr>
            <w:r w:rsidRPr="00F34A87">
              <w:rPr>
                <w:color w:val="000000"/>
                <w:sz w:val="19"/>
              </w:rPr>
              <w:t>Codex 重排方案</w:t>
            </w:r>
          </w:p>
        </w:tc>
        <w:tc>
          <w:tcPr>
            <w:tcW w:w="65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Default="00000000">
            <w:pPr>
              <w:spacing w:after="100"/>
              <w:jc w:val="center"/>
              <w:rPr>
                <w:rFonts w:hint="default"/>
              </w:rPr>
            </w:pPr>
            <w:r>
              <w:rPr>
                <w:color w:val="000000"/>
                <w:sz w:val="19"/>
              </w:rPr>
              <w:t>31/31</w:t>
            </w:r>
          </w:p>
        </w:tc>
      </w:tr>
      <w:tr w:rsidR="00E8281C">
        <w:trPr>
          <w:jc w:val="center"/>
        </w:trPr>
        <w:tc>
          <w:tcPr>
            <w:tcW w:w="30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Pr="00F34A87" w:rsidRDefault="00000000">
            <w:pPr>
              <w:spacing w:after="100"/>
              <w:jc w:val="center"/>
              <w:rPr>
                <w:rFonts w:hint="default"/>
              </w:rPr>
            </w:pPr>
            <w:r w:rsidRPr="00F34A87">
              <w:rPr>
                <w:color w:val="000000"/>
                <w:sz w:val="19"/>
              </w:rPr>
              <w:t>改配与稳定性</w:t>
            </w:r>
          </w:p>
        </w:tc>
        <w:tc>
          <w:tcPr>
            <w:tcW w:w="65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Default="00000000">
            <w:pPr>
              <w:spacing w:after="100"/>
              <w:jc w:val="center"/>
              <w:rPr>
                <w:rFonts w:hint="default"/>
              </w:rPr>
            </w:pPr>
            <w:r>
              <w:rPr>
                <w:color w:val="000000"/>
                <w:sz w:val="19"/>
              </w:rPr>
              <w:t>改配 3 炉；28 炉保留预配基线</w:t>
            </w:r>
          </w:p>
        </w:tc>
      </w:tr>
      <w:tr w:rsidR="00E8281C">
        <w:trPr>
          <w:jc w:val="center"/>
        </w:trPr>
        <w:tc>
          <w:tcPr>
            <w:tcW w:w="30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Pr="00F34A87" w:rsidRDefault="00000000">
            <w:pPr>
              <w:spacing w:after="100"/>
              <w:jc w:val="center"/>
              <w:rPr>
                <w:rFonts w:hint="default"/>
              </w:rPr>
            </w:pPr>
            <w:r w:rsidRPr="00F34A87">
              <w:rPr>
                <w:color w:val="000000"/>
                <w:sz w:val="19"/>
              </w:rPr>
              <w:t>硬约束终检</w:t>
            </w:r>
          </w:p>
        </w:tc>
        <w:tc>
          <w:tcPr>
            <w:tcW w:w="65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Default="00000000">
            <w:pPr>
              <w:spacing w:after="100"/>
              <w:jc w:val="center"/>
              <w:rPr>
                <w:rFonts w:hint="default"/>
              </w:rPr>
            </w:pPr>
            <w:r>
              <w:rPr>
                <w:color w:val="000000"/>
                <w:sz w:val="19"/>
              </w:rPr>
              <w:t>31/31 通过；规则违反 0</w:t>
            </w:r>
          </w:p>
        </w:tc>
      </w:tr>
      <w:tr w:rsidR="00E8281C">
        <w:trPr>
          <w:jc w:val="center"/>
        </w:trPr>
        <w:tc>
          <w:tcPr>
            <w:tcW w:w="30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Pr="00F34A87" w:rsidRDefault="00000000">
            <w:pPr>
              <w:spacing w:after="100"/>
              <w:jc w:val="center"/>
              <w:rPr>
                <w:rFonts w:hint="default"/>
              </w:rPr>
            </w:pPr>
            <w:r w:rsidRPr="00F34A87">
              <w:rPr>
                <w:color w:val="000000"/>
                <w:sz w:val="19"/>
              </w:rPr>
              <w:lastRenderedPageBreak/>
              <w:t>最终推荐</w:t>
            </w:r>
          </w:p>
        </w:tc>
        <w:tc>
          <w:tcPr>
            <w:tcW w:w="65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Default="00000000">
            <w:pPr>
              <w:spacing w:after="100"/>
              <w:jc w:val="center"/>
              <w:rPr>
                <w:rFonts w:hint="default"/>
              </w:rPr>
            </w:pPr>
            <w:r>
              <w:rPr>
                <w:color w:val="000000"/>
                <w:sz w:val="19"/>
              </w:rPr>
              <w:t>Codex 重排方案</w:t>
            </w:r>
          </w:p>
        </w:tc>
      </w:tr>
      <w:tr w:rsidR="00E8281C">
        <w:trPr>
          <w:jc w:val="center"/>
        </w:trPr>
        <w:tc>
          <w:tcPr>
            <w:tcW w:w="30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Pr="00F34A87" w:rsidRDefault="00000000">
            <w:pPr>
              <w:spacing w:after="100"/>
              <w:jc w:val="center"/>
              <w:rPr>
                <w:rFonts w:hint="default"/>
              </w:rPr>
            </w:pPr>
            <w:r w:rsidRPr="00F34A87">
              <w:rPr>
                <w:color w:val="000000"/>
                <w:sz w:val="19"/>
              </w:rPr>
              <w:t>推荐原因</w:t>
            </w:r>
          </w:p>
        </w:tc>
        <w:tc>
          <w:tcPr>
            <w:tcW w:w="6500" w:type="dxa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8281C" w:rsidRDefault="00000000">
            <w:pPr>
              <w:spacing w:after="100"/>
              <w:jc w:val="center"/>
              <w:rPr>
                <w:rFonts w:hint="default"/>
              </w:rPr>
            </w:pPr>
            <w:r>
              <w:rPr>
                <w:color w:val="000000"/>
                <w:sz w:val="19"/>
              </w:rPr>
              <w:t>决策树重排方案完成 30/31、规则违反 1；Codex 重排方案完成 31/31、规则违反 0。</w:t>
            </w:r>
          </w:p>
        </w:tc>
      </w:tr>
    </w:tbl>
    <w:p w:rsidR="00E8281C" w:rsidRDefault="00E8281C">
      <w:pPr>
        <w:spacing w:after="20"/>
        <w:rPr>
          <w:rFonts w:hint="default"/>
        </w:rPr>
      </w:pPr>
    </w:p>
    <w:p w:rsidR="00E8281C" w:rsidRDefault="00000000" w:rsidP="00053D5C">
      <w:pPr>
        <w:pStyle w:val="2"/>
        <w:keepNext/>
        <w:spacing w:before="180" w:after="100"/>
        <w:rPr>
          <w:rFonts w:hint="default"/>
          <w:color w:val="000000"/>
        </w:rPr>
      </w:pPr>
      <w:r>
        <w:rPr>
          <w:color w:val="000000"/>
        </w:rPr>
        <w:t xml:space="preserve">3.1 </w:t>
      </w:r>
      <w:r w:rsidR="00053D5C">
        <w:rPr>
          <w:color w:val="000000"/>
        </w:rPr>
        <w:t>结果对比</w:t>
      </w:r>
    </w:p>
    <w:p w:rsidR="00053D5C" w:rsidRDefault="00053D5C" w:rsidP="00053D5C">
      <w:pPr>
        <w:spacing w:after="100"/>
        <w:ind w:firstLineChars="200" w:firstLine="420"/>
        <w:rPr>
          <w:rFonts w:hint="default"/>
          <w:color w:val="000000"/>
        </w:rPr>
      </w:pPr>
      <w:r>
        <w:rPr>
          <w:color w:val="000000"/>
        </w:rPr>
        <w:t>这里核心对比决策树重排和</w:t>
      </w:r>
      <w:proofErr w:type="spellStart"/>
      <w:r>
        <w:rPr>
          <w:color w:val="000000"/>
        </w:rPr>
        <w:t>l</w:t>
      </w:r>
      <w:r>
        <w:rPr>
          <w:rFonts w:hint="default"/>
          <w:color w:val="000000"/>
        </w:rPr>
        <w:t>lm</w:t>
      </w:r>
      <w:proofErr w:type="spellEnd"/>
      <w:r>
        <w:rPr>
          <w:color w:val="000000"/>
        </w:rPr>
        <w:t>重排的效果对比，其中3</w:t>
      </w:r>
      <w:r>
        <w:rPr>
          <w:rFonts w:hint="default"/>
          <w:color w:val="000000"/>
        </w:rPr>
        <w:t>00751</w:t>
      </w:r>
      <w:r>
        <w:rPr>
          <w:color w:val="000000"/>
        </w:rPr>
        <w:t>号炉次在遇到行车离线时出现了两种情况：</w:t>
      </w:r>
    </w:p>
    <w:p w:rsidR="00053D5C" w:rsidRPr="00053D5C" w:rsidRDefault="00053D5C" w:rsidP="00053D5C">
      <w:pPr>
        <w:spacing w:after="100"/>
        <w:ind w:firstLineChars="200" w:firstLine="420"/>
        <w:rPr>
          <w:rFonts w:hint="default"/>
          <w:color w:val="000000"/>
        </w:rPr>
      </w:pPr>
      <w:r>
        <w:rPr>
          <w:color w:val="000000"/>
        </w:rPr>
        <w:t>1</w:t>
      </w:r>
      <w:r>
        <w:rPr>
          <w:rFonts w:hint="default"/>
          <w:color w:val="000000"/>
        </w:rPr>
        <w:t>.</w:t>
      </w:r>
      <w:r w:rsidRPr="00053D5C">
        <w:rPr>
          <w:color w:val="000000"/>
        </w:rPr>
        <w:t>决策树重排失败</w:t>
      </w:r>
    </w:p>
    <w:p w:rsidR="00053D5C" w:rsidRDefault="00053D5C" w:rsidP="00053D5C">
      <w:pPr>
        <w:spacing w:after="100"/>
        <w:ind w:firstLineChars="200" w:firstLine="420"/>
        <w:rPr>
          <w:rFonts w:hint="default"/>
          <w:color w:val="000000"/>
        </w:rPr>
      </w:pPr>
      <w:r>
        <w:rPr>
          <w:rFonts w:hint="default"/>
          <w:color w:val="000000"/>
        </w:rPr>
        <w:t>2.</w:t>
      </w:r>
      <w:r>
        <w:rPr>
          <w:color w:val="000000"/>
        </w:rPr>
        <w:t>llm重排成功</w:t>
      </w:r>
    </w:p>
    <w:p w:rsidR="00053D5C" w:rsidRPr="00053D5C" w:rsidRDefault="00053D5C" w:rsidP="00053D5C">
      <w:pPr>
        <w:spacing w:after="100"/>
        <w:ind w:firstLineChars="200" w:firstLine="420"/>
        <w:rPr>
          <w:color w:val="000000"/>
        </w:rPr>
      </w:pPr>
      <w:r>
        <w:rPr>
          <w:color w:val="000000"/>
        </w:rPr>
        <w:t>并且通过评价指标是否通过来检验二者的性能，发现</w:t>
      </w:r>
      <w:proofErr w:type="spellStart"/>
      <w:r>
        <w:rPr>
          <w:rFonts w:hint="default"/>
          <w:color w:val="000000"/>
        </w:rPr>
        <w:t>llm</w:t>
      </w:r>
      <w:proofErr w:type="spellEnd"/>
      <w:r>
        <w:rPr>
          <w:color w:val="000000"/>
        </w:rPr>
        <w:t>完成效果更佳。</w:t>
      </w:r>
    </w:p>
    <w:p w:rsidR="00E8281C" w:rsidRDefault="00053D5C">
      <w:pPr>
        <w:spacing w:after="20"/>
        <w:rPr>
          <w:rFonts w:hint="default"/>
        </w:rPr>
      </w:pPr>
      <w:r w:rsidRPr="00053D5C">
        <w:drawing>
          <wp:inline distT="0" distB="0" distL="0" distR="0" wp14:anchorId="5B5C6117" wp14:editId="08416DD6">
            <wp:extent cx="6036310" cy="2016125"/>
            <wp:effectExtent l="0" t="0" r="0" b="3175"/>
            <wp:docPr id="736902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020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D5C" w:rsidRDefault="00053D5C">
      <w:pPr>
        <w:spacing w:after="20"/>
      </w:pPr>
      <w:r w:rsidRPr="00053D5C">
        <w:drawing>
          <wp:inline distT="0" distB="0" distL="0" distR="0" wp14:anchorId="7DF17E7D" wp14:editId="010DBCF4">
            <wp:extent cx="6036310" cy="547370"/>
            <wp:effectExtent l="0" t="0" r="0" b="0"/>
            <wp:docPr id="2106544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44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81C" w:rsidRDefault="00000000">
      <w:pPr>
        <w:pStyle w:val="1"/>
        <w:keepNext/>
        <w:spacing w:before="280" w:after="100"/>
        <w:rPr>
          <w:rFonts w:hint="default"/>
        </w:rPr>
      </w:pPr>
      <w:r>
        <w:rPr>
          <w:color w:val="000000"/>
        </w:rPr>
        <w:lastRenderedPageBreak/>
        <w:t>4. 边界与下一步</w:t>
      </w:r>
    </w:p>
    <w:p w:rsidR="00E8281C" w:rsidRPr="00053D5C" w:rsidRDefault="00053D5C">
      <w:pPr>
        <w:spacing w:after="100"/>
      </w:pPr>
      <w:r>
        <w:rPr>
          <w:color w:val="000000"/>
        </w:rPr>
        <w:t xml:space="preserve">· </w:t>
      </w:r>
      <w:r w:rsidR="006A35B7">
        <w:rPr>
          <w:rFonts w:hint="default"/>
          <w:color w:val="000000"/>
        </w:rPr>
        <w:t xml:space="preserve">  </w:t>
      </w:r>
      <w:r>
        <w:rPr>
          <w:rFonts w:hint="default"/>
          <w:color w:val="000000"/>
        </w:rPr>
        <w:t xml:space="preserve"> </w:t>
      </w:r>
      <w:r w:rsidR="00010912">
        <w:rPr>
          <w:rFonts w:hint="default"/>
          <w:color w:val="000000"/>
        </w:rPr>
        <w:t>1.</w:t>
      </w:r>
      <w:r>
        <w:rPr>
          <w:color w:val="000000"/>
        </w:rPr>
        <w:t>现在只是模拟了一种行车离线的场景，接下来应该模拟更多的事故场景保证加入</w:t>
      </w:r>
      <w:proofErr w:type="spellStart"/>
      <w:r>
        <w:rPr>
          <w:color w:val="000000"/>
        </w:rPr>
        <w:t>ll</w:t>
      </w:r>
      <w:r>
        <w:rPr>
          <w:rFonts w:hint="default"/>
          <w:color w:val="000000"/>
        </w:rPr>
        <w:t>m</w:t>
      </w:r>
      <w:proofErr w:type="spellEnd"/>
      <w:r>
        <w:rPr>
          <w:color w:val="000000"/>
        </w:rPr>
        <w:t>的钢包配包模型具有更佳智能的决策效果。</w:t>
      </w:r>
      <w:r w:rsidR="00010912">
        <w:rPr>
          <w:rFonts w:hint="default"/>
          <w:color w:val="000000"/>
        </w:rPr>
        <w:br/>
      </w:r>
      <w:r w:rsidR="00010912">
        <w:rPr>
          <w:rFonts w:hint="default"/>
          <w:color w:val="000000"/>
        </w:rPr>
        <w:tab/>
        <w:t>2.</w:t>
      </w:r>
      <w:r w:rsidR="00010912">
        <w:rPr>
          <w:color w:val="000000"/>
        </w:rPr>
        <w:t>评价指标体系的进一步确立和构建。</w:t>
      </w:r>
    </w:p>
    <w:p w:rsidR="00E8281C" w:rsidRDefault="00E8281C" w:rsidP="00053D5C">
      <w:pPr>
        <w:pStyle w:val="a4"/>
        <w:spacing w:after="100" w:line="360" w:lineRule="auto"/>
        <w:ind w:left="720"/>
        <w:rPr>
          <w:rFonts w:hint="eastAsia"/>
        </w:rPr>
      </w:pPr>
    </w:p>
    <w:sectPr w:rsidR="00E8281C">
      <w:headerReference w:type="default" r:id="rId11"/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26B73" w:rsidRDefault="00426B73">
      <w:pPr>
        <w:rPr>
          <w:rFonts w:hint="default"/>
        </w:rPr>
      </w:pPr>
      <w:r>
        <w:separator/>
      </w:r>
    </w:p>
  </w:endnote>
  <w:endnote w:type="continuationSeparator" w:id="0">
    <w:p w:rsidR="00426B73" w:rsidRDefault="00426B73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26B73" w:rsidRDefault="00426B73">
      <w:pPr>
        <w:rPr>
          <w:rFonts w:hint="default"/>
        </w:rPr>
      </w:pPr>
      <w:r>
        <w:separator/>
      </w:r>
    </w:p>
  </w:footnote>
  <w:footnote w:type="continuationSeparator" w:id="0">
    <w:p w:rsidR="00426B73" w:rsidRDefault="00426B73">
      <w:pPr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642E" w:rsidRDefault="00D8642E">
    <w:pPr>
      <w:jc w:val="center"/>
      <w:rPr>
        <w:rFonts w:hint="defaul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64F2B"/>
    <w:multiLevelType w:val="hybridMultilevel"/>
    <w:tmpl w:val="C024B900"/>
    <w:lvl w:ilvl="0" w:tplc="EF3466C6">
      <w:start w:val="1"/>
      <w:numFmt w:val="bullet"/>
      <w:lvlText w:val="•"/>
      <w:lvlJc w:val="left"/>
      <w:pPr>
        <w:ind w:left="720" w:hanging="360"/>
      </w:pPr>
    </w:lvl>
    <w:lvl w:ilvl="1" w:tplc="2FCAC28E">
      <w:numFmt w:val="decimal"/>
      <w:lvlText w:val=""/>
      <w:lvlJc w:val="left"/>
    </w:lvl>
    <w:lvl w:ilvl="2" w:tplc="71F2BEEC">
      <w:numFmt w:val="decimal"/>
      <w:lvlText w:val=""/>
      <w:lvlJc w:val="left"/>
    </w:lvl>
    <w:lvl w:ilvl="3" w:tplc="E6E43E18">
      <w:numFmt w:val="decimal"/>
      <w:lvlText w:val=""/>
      <w:lvlJc w:val="left"/>
    </w:lvl>
    <w:lvl w:ilvl="4" w:tplc="9546102A">
      <w:numFmt w:val="decimal"/>
      <w:lvlText w:val=""/>
      <w:lvlJc w:val="left"/>
    </w:lvl>
    <w:lvl w:ilvl="5" w:tplc="A2AC2DC4">
      <w:numFmt w:val="decimal"/>
      <w:lvlText w:val=""/>
      <w:lvlJc w:val="left"/>
    </w:lvl>
    <w:lvl w:ilvl="6" w:tplc="1414C690">
      <w:numFmt w:val="decimal"/>
      <w:lvlText w:val=""/>
      <w:lvlJc w:val="left"/>
    </w:lvl>
    <w:lvl w:ilvl="7" w:tplc="26CCDEB4">
      <w:numFmt w:val="decimal"/>
      <w:lvlText w:val=""/>
      <w:lvlJc w:val="left"/>
    </w:lvl>
    <w:lvl w:ilvl="8" w:tplc="1A18754C">
      <w:numFmt w:val="decimal"/>
      <w:lvlText w:val=""/>
      <w:lvlJc w:val="left"/>
    </w:lvl>
  </w:abstractNum>
  <w:abstractNum w:abstractNumId="1" w15:restartNumberingAfterBreak="0">
    <w:nsid w:val="1B80418B"/>
    <w:multiLevelType w:val="hybridMultilevel"/>
    <w:tmpl w:val="627EE130"/>
    <w:lvl w:ilvl="0" w:tplc="A6C2E792">
      <w:start w:val="1"/>
      <w:numFmt w:val="decimal"/>
      <w:lvlText w:val="%1."/>
      <w:lvlJc w:val="left"/>
      <w:pPr>
        <w:ind w:left="720" w:hanging="360"/>
      </w:pPr>
    </w:lvl>
    <w:lvl w:ilvl="1" w:tplc="773255C4">
      <w:numFmt w:val="decimal"/>
      <w:lvlText w:val=""/>
      <w:lvlJc w:val="left"/>
    </w:lvl>
    <w:lvl w:ilvl="2" w:tplc="CA3E3C14">
      <w:numFmt w:val="decimal"/>
      <w:lvlText w:val=""/>
      <w:lvlJc w:val="left"/>
    </w:lvl>
    <w:lvl w:ilvl="3" w:tplc="31D66B3C">
      <w:numFmt w:val="decimal"/>
      <w:lvlText w:val=""/>
      <w:lvlJc w:val="left"/>
    </w:lvl>
    <w:lvl w:ilvl="4" w:tplc="36EA1E5E">
      <w:numFmt w:val="decimal"/>
      <w:lvlText w:val=""/>
      <w:lvlJc w:val="left"/>
    </w:lvl>
    <w:lvl w:ilvl="5" w:tplc="8782EC4A">
      <w:numFmt w:val="decimal"/>
      <w:lvlText w:val=""/>
      <w:lvlJc w:val="left"/>
    </w:lvl>
    <w:lvl w:ilvl="6" w:tplc="5F0E3542">
      <w:numFmt w:val="decimal"/>
      <w:lvlText w:val=""/>
      <w:lvlJc w:val="left"/>
    </w:lvl>
    <w:lvl w:ilvl="7" w:tplc="6BDC6460">
      <w:numFmt w:val="decimal"/>
      <w:lvlText w:val=""/>
      <w:lvlJc w:val="left"/>
    </w:lvl>
    <w:lvl w:ilvl="8" w:tplc="40345EAE">
      <w:numFmt w:val="decimal"/>
      <w:lvlText w:val=""/>
      <w:lvlJc w:val="left"/>
    </w:lvl>
  </w:abstractNum>
  <w:abstractNum w:abstractNumId="2" w15:restartNumberingAfterBreak="0">
    <w:nsid w:val="3BBC63B6"/>
    <w:multiLevelType w:val="hybridMultilevel"/>
    <w:tmpl w:val="2D021180"/>
    <w:lvl w:ilvl="0" w:tplc="DC2E5168">
      <w:start w:val="1"/>
      <w:numFmt w:val="bullet"/>
      <w:lvlText w:val="●"/>
      <w:lvlJc w:val="left"/>
      <w:pPr>
        <w:ind w:left="720" w:hanging="360"/>
      </w:pPr>
    </w:lvl>
    <w:lvl w:ilvl="1" w:tplc="52782A6A">
      <w:start w:val="1"/>
      <w:numFmt w:val="bullet"/>
      <w:lvlText w:val="○"/>
      <w:lvlJc w:val="left"/>
      <w:pPr>
        <w:ind w:left="1440" w:hanging="360"/>
      </w:pPr>
    </w:lvl>
    <w:lvl w:ilvl="2" w:tplc="7B62BEC8">
      <w:start w:val="1"/>
      <w:numFmt w:val="bullet"/>
      <w:lvlText w:val="■"/>
      <w:lvlJc w:val="left"/>
      <w:pPr>
        <w:ind w:left="2160" w:hanging="360"/>
      </w:pPr>
    </w:lvl>
    <w:lvl w:ilvl="3" w:tplc="9D8A33CE">
      <w:start w:val="1"/>
      <w:numFmt w:val="bullet"/>
      <w:lvlText w:val="●"/>
      <w:lvlJc w:val="left"/>
      <w:pPr>
        <w:ind w:left="2880" w:hanging="360"/>
      </w:pPr>
    </w:lvl>
    <w:lvl w:ilvl="4" w:tplc="E6D06D4E">
      <w:start w:val="1"/>
      <w:numFmt w:val="bullet"/>
      <w:lvlText w:val="○"/>
      <w:lvlJc w:val="left"/>
      <w:pPr>
        <w:ind w:left="3600" w:hanging="360"/>
      </w:pPr>
    </w:lvl>
    <w:lvl w:ilvl="5" w:tplc="AD42662E">
      <w:start w:val="1"/>
      <w:numFmt w:val="bullet"/>
      <w:lvlText w:val="■"/>
      <w:lvlJc w:val="left"/>
      <w:pPr>
        <w:ind w:left="4320" w:hanging="360"/>
      </w:pPr>
    </w:lvl>
    <w:lvl w:ilvl="6" w:tplc="53DA3C82">
      <w:start w:val="1"/>
      <w:numFmt w:val="bullet"/>
      <w:lvlText w:val="●"/>
      <w:lvlJc w:val="left"/>
      <w:pPr>
        <w:ind w:left="5040" w:hanging="360"/>
      </w:pPr>
    </w:lvl>
    <w:lvl w:ilvl="7" w:tplc="D7DA78F0">
      <w:start w:val="1"/>
      <w:numFmt w:val="bullet"/>
      <w:lvlText w:val="●"/>
      <w:lvlJc w:val="left"/>
      <w:pPr>
        <w:ind w:left="5760" w:hanging="360"/>
      </w:pPr>
    </w:lvl>
    <w:lvl w:ilvl="8" w:tplc="FB14D75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39D2901"/>
    <w:multiLevelType w:val="hybridMultilevel"/>
    <w:tmpl w:val="7B143DF6"/>
    <w:lvl w:ilvl="0" w:tplc="002E37C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967785172">
    <w:abstractNumId w:val="2"/>
    <w:lvlOverride w:ilvl="0">
      <w:startOverride w:val="1"/>
    </w:lvlOverride>
  </w:num>
  <w:num w:numId="2" w16cid:durableId="1311902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8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42E"/>
    <w:rsid w:val="00010912"/>
    <w:rsid w:val="00053D5C"/>
    <w:rsid w:val="000A4D02"/>
    <w:rsid w:val="0014422E"/>
    <w:rsid w:val="00323B45"/>
    <w:rsid w:val="00426B73"/>
    <w:rsid w:val="006A35B7"/>
    <w:rsid w:val="00D8642E"/>
    <w:rsid w:val="00E8281C"/>
    <w:rsid w:val="00F3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F0FDCB"/>
  <w15:docId w15:val="{488500D1-6EFB-5644-BDE7-31FD26C02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</w:pPr>
    <w:rPr>
      <w:rFonts w:ascii="Songti SC" w:eastAsia="Songti SC" w:hAnsi="Songti SC" w:cs="Songti SC" w:hint="eastAsia"/>
      <w:sz w:val="21"/>
      <w:lang w:bidi="en-US"/>
    </w:rPr>
  </w:style>
  <w:style w:type="paragraph" w:styleId="1">
    <w:name w:val="heading 1"/>
    <w:uiPriority w:val="9"/>
    <w:qFormat/>
    <w:pPr>
      <w:spacing w:before="320" w:after="120" w:line="360" w:lineRule="auto"/>
      <w:outlineLvl w:val="0"/>
    </w:pPr>
    <w:rPr>
      <w:rFonts w:ascii="Songti SC" w:eastAsia="Songti SC" w:hAnsi="Songti SC" w:cs="Songti SC" w:hint="eastAsia"/>
      <w:b/>
      <w:bCs/>
      <w:sz w:val="32"/>
      <w:szCs w:val="32"/>
      <w:lang w:bidi="en-US"/>
    </w:rPr>
  </w:style>
  <w:style w:type="paragraph" w:styleId="2">
    <w:name w:val="heading 2"/>
    <w:uiPriority w:val="9"/>
    <w:unhideWhenUsed/>
    <w:qFormat/>
    <w:pPr>
      <w:spacing w:before="240" w:after="120" w:line="360" w:lineRule="auto"/>
      <w:outlineLvl w:val="1"/>
    </w:pPr>
    <w:rPr>
      <w:rFonts w:ascii="Songti SC" w:eastAsia="Songti SC" w:hAnsi="Songti SC" w:cs="Songti SC" w:hint="eastAsia"/>
      <w:b/>
      <w:bCs/>
      <w:sz w:val="27"/>
      <w:szCs w:val="28"/>
      <w:lang w:bidi="en-US"/>
    </w:rPr>
  </w:style>
  <w:style w:type="paragraph" w:styleId="3">
    <w:name w:val="heading 3"/>
    <w:uiPriority w:val="9"/>
    <w:semiHidden/>
    <w:unhideWhenUsed/>
    <w:qFormat/>
    <w:pPr>
      <w:spacing w:line="360" w:lineRule="auto"/>
      <w:outlineLvl w:val="2"/>
    </w:pPr>
    <w:rPr>
      <w:rFonts w:ascii="Songti SC" w:eastAsia="Songti SC" w:hAnsi="Songti SC" w:cs="Songti SC" w:hint="eastAsia"/>
      <w:color w:val="1F4D78"/>
      <w:lang w:bidi="en-US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line="360" w:lineRule="auto"/>
    </w:pPr>
    <w:rPr>
      <w:rFonts w:ascii="Songti SC" w:eastAsia="Songti SC" w:hAnsi="Songti SC" w:cs="Songti SC" w:hint="eastAsia"/>
      <w:sz w:val="56"/>
      <w:szCs w:val="56"/>
      <w:lang w:bidi="en-US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442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14422E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14422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1442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2026-09-01T07:11:00Z</dcterms:created>
  <dcterms:modified xsi:type="dcterms:W3CDTF">2026-09-01T07:11:00Z</dcterms:modified>
</cp:coreProperties>
</file>