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4DC9" w:rsidRPr="00AD5217" w:rsidRDefault="00000000">
      <w:pPr>
        <w:spacing w:after="80"/>
        <w:jc w:val="center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b/>
          <w:color w:val="000000"/>
          <w:sz w:val="56"/>
        </w:rPr>
        <w:t>钢包重排评价指标调研进展</w:t>
      </w:r>
    </w:p>
    <w:p w:rsidR="00D94DC9" w:rsidRPr="00AD5217" w:rsidRDefault="00D94DC9">
      <w:pPr>
        <w:spacing w:after="40"/>
        <w:rPr>
          <w:rFonts w:ascii="宋体" w:eastAsia="宋体" w:hAnsi="宋体" w:hint="default"/>
        </w:rPr>
      </w:pPr>
    </w:p>
    <w:p w:rsidR="00D94DC9" w:rsidRPr="00AD5217" w:rsidRDefault="00000000">
      <w:pPr>
        <w:pStyle w:val="1"/>
        <w:keepNext/>
        <w:spacing w:before="280" w:after="10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1. 本周结论</w:t>
      </w:r>
    </w:p>
    <w:p w:rsidR="00D94DC9" w:rsidRPr="00AD5217" w:rsidRDefault="00000000" w:rsidP="00AD5217">
      <w:pPr>
        <w:spacing w:after="100"/>
        <w:ind w:firstLine="42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本周完成了评价指标的筛选与真实数据回放验证。最终不采用简单加权总分，而采用“硬门槛 + 分层排序”：先判断方案能不能安全下发，再比较生产效果，最后用计划稳定性做平局裁决。这样可以避免“改配少”掩盖“方案不可执行”。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D94DC9" w:rsidRPr="00AD5217">
        <w:trPr>
          <w:jc w:val="center"/>
        </w:trPr>
        <w:tc>
          <w:tcPr>
            <w:tcW w:w="9500" w:type="dxa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20"/>
              </w:rPr>
              <w:t>已确定：主评价指标为完整分配率、硬约束违反、资源/路线合法性、按时率、平均延迟和最大延迟；改配规模、窗口外影响和负载均衡作为稳定性补充指标。</w:t>
            </w:r>
          </w:p>
        </w:tc>
      </w:tr>
    </w:tbl>
    <w:p w:rsidR="00D94DC9" w:rsidRPr="00AD5217" w:rsidRDefault="00D94DC9">
      <w:pPr>
        <w:spacing w:after="20"/>
        <w:rPr>
          <w:rFonts w:ascii="宋体" w:eastAsia="宋体" w:hAnsi="宋体" w:hint="default"/>
        </w:rPr>
      </w:pP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700"/>
      </w:tblGrid>
      <w:tr w:rsidR="00D94DC9" w:rsidRPr="00AD5217">
        <w:trPr>
          <w:tblHeader/>
          <w:jc w:val="center"/>
        </w:trPr>
        <w:tc>
          <w:tcPr>
            <w:tcW w:w="1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8"/>
              </w:rPr>
              <w:t>层级</w:t>
            </w:r>
          </w:p>
        </w:tc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8"/>
              </w:rPr>
              <w:t>要回答的问题</w:t>
            </w:r>
          </w:p>
        </w:tc>
        <w:tc>
          <w:tcPr>
            <w:tcW w:w="4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8"/>
              </w:rPr>
              <w:t>本周结论</w:t>
            </w:r>
          </w:p>
        </w:tc>
      </w:tr>
      <w:tr w:rsidR="00D94DC9" w:rsidRPr="00AD5217">
        <w:trPr>
          <w:jc w:val="center"/>
        </w:trPr>
        <w:tc>
          <w:tcPr>
            <w:tcW w:w="1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第一层：可行性</w:t>
            </w:r>
          </w:p>
        </w:tc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方案能不能安全下发？</w:t>
            </w:r>
          </w:p>
        </w:tc>
        <w:tc>
          <w:tcPr>
            <w:tcW w:w="4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完整分配必须 100%；硬约束必须 0；资源与路线必须合法。</w:t>
            </w:r>
          </w:p>
        </w:tc>
      </w:tr>
      <w:tr w:rsidR="00D94DC9" w:rsidRPr="00AD5217">
        <w:trPr>
          <w:jc w:val="center"/>
        </w:trPr>
        <w:tc>
          <w:tcPr>
            <w:tcW w:w="1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第二层：生产效果</w:t>
            </w:r>
          </w:p>
        </w:tc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可行方案谁更少延误？</w:t>
            </w:r>
          </w:p>
        </w:tc>
        <w:tc>
          <w:tcPr>
            <w:tcW w:w="4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按时率优先，其次平均延迟、最大延迟。</w:t>
            </w:r>
          </w:p>
        </w:tc>
      </w:tr>
      <w:tr w:rsidR="00D94DC9" w:rsidRPr="00AD5217">
        <w:trPr>
          <w:jc w:val="center"/>
        </w:trPr>
        <w:tc>
          <w:tcPr>
            <w:tcW w:w="1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第三层：计划稳定性</w:t>
            </w:r>
          </w:p>
        </w:tc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效果接近时谁改动更小？</w:t>
            </w:r>
          </w:p>
        </w:tc>
        <w:tc>
          <w:tcPr>
            <w:tcW w:w="4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比较 AP 基线改配、窗口外影响和资源负载。</w:t>
            </w:r>
          </w:p>
        </w:tc>
      </w:tr>
    </w:tbl>
    <w:p w:rsidR="00D94DC9" w:rsidRPr="00AD5217" w:rsidRDefault="00D94DC9">
      <w:pPr>
        <w:spacing w:after="20"/>
        <w:rPr>
          <w:rFonts w:ascii="宋体" w:eastAsia="宋体" w:hAnsi="宋体" w:hint="default"/>
        </w:rPr>
      </w:pPr>
    </w:p>
    <w:p w:rsidR="00D94DC9" w:rsidRPr="00AD5217" w:rsidRDefault="00000000">
      <w:pPr>
        <w:pStyle w:val="1"/>
        <w:keepNext/>
        <w:spacing w:before="280" w:after="10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2. 指标筛选方法</w:t>
      </w:r>
    </w:p>
    <w:p w:rsidR="00D94DC9" w:rsidRPr="00AD5217" w:rsidRDefault="00000000">
      <w:pPr>
        <w:pStyle w:val="2"/>
        <w:keepNext/>
        <w:spacing w:before="180" w:after="10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2.1 为什么不使用综合总分</w:t>
      </w:r>
    </w:p>
    <w:p w:rsidR="00D94DC9" w:rsidRPr="00AD5217" w:rsidRDefault="00000000" w:rsidP="00AD5217">
      <w:pPr>
        <w:spacing w:after="100"/>
        <w:ind w:firstLine="42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钢包重排首先是一个安全可行性问题，不是单纯的成本优化问题。若某方案少改了几炉，但有一炉没有合法钢包、行车或路线，就不能因为加权分数较高而被下发。因此，评价顺序固定为：可行性门槛 → 生产效果 → 稳定性。任一方案未通过第一层，直接淘汰；两方都未通过时转人工复核。</w:t>
      </w:r>
    </w:p>
    <w:p w:rsidR="00D94DC9" w:rsidRPr="00AD5217" w:rsidRDefault="00000000">
      <w:pPr>
        <w:pStyle w:val="2"/>
        <w:keepNext/>
        <w:spacing w:before="180" w:after="10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lastRenderedPageBreak/>
        <w:t>2.2 推荐指标清单</w:t>
      </w:r>
    </w:p>
    <w:tbl>
      <w:tblPr>
        <w:tblW w:w="8299" w:type="dxa"/>
        <w:jc w:val="center"/>
        <w:tblLayout w:type="fixed"/>
        <w:tblLook w:val="04A0" w:firstRow="1" w:lastRow="0" w:firstColumn="1" w:lastColumn="0" w:noHBand="0" w:noVBand="1"/>
      </w:tblPr>
      <w:tblGrid>
        <w:gridCol w:w="1572"/>
        <w:gridCol w:w="2389"/>
        <w:gridCol w:w="2389"/>
        <w:gridCol w:w="1949"/>
      </w:tblGrid>
      <w:tr w:rsidR="00AD5217" w:rsidRPr="00AD5217" w:rsidTr="00AD5217">
        <w:trPr>
          <w:trHeight w:val="338"/>
          <w:tblHeader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5"/>
              </w:rPr>
              <w:t>指标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5"/>
              </w:rPr>
              <w:t>指标含义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5"/>
              </w:rPr>
              <w:t>计算方式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5"/>
              </w:rPr>
              <w:t>定位</w:t>
            </w:r>
          </w:p>
        </w:tc>
      </w:tr>
      <w:tr w:rsidR="00AD5217" w:rsidRPr="00AD5217" w:rsidTr="00AD5217">
        <w:trPr>
          <w:trHeight w:val="338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完整分配率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能否覆盖窗口内全部炉次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已分配炉次 / 窗口炉次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主指标；必须 100%</w:t>
            </w:r>
          </w:p>
        </w:tc>
      </w:tr>
      <w:tr w:rsidR="00AD5217" w:rsidRPr="00AD5217" w:rsidTr="00AD5217">
        <w:trPr>
          <w:trHeight w:val="594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硬约束违反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资源、时间、位置、路线与安全规则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违规项计数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主指标；必须 0</w:t>
            </w:r>
          </w:p>
        </w:tc>
      </w:tr>
      <w:tr w:rsidR="00AD5217" w:rsidRPr="00AD5217" w:rsidTr="00AD5217">
        <w:trPr>
          <w:trHeight w:val="586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资源/路线合法性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钢包、行车存在且路线可达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逐炉校验资源与路线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主指标；任一失败淘汰</w:t>
            </w:r>
          </w:p>
        </w:tc>
      </w:tr>
      <w:tr w:rsidR="00AD5217" w:rsidRPr="00AD5217" w:rsidTr="00AD5217">
        <w:trPr>
          <w:trHeight w:val="586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按时率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窗口结束前完成运输的比例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按时炉次 / 窗口炉次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主指标；越高越好</w:t>
            </w:r>
          </w:p>
        </w:tc>
      </w:tr>
      <w:tr w:rsidR="00AD5217" w:rsidRPr="00AD5217" w:rsidTr="00AD5217">
        <w:trPr>
          <w:trHeight w:val="594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平均延迟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超出时间窗的平均时长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平均 max(实际到达 - 窗口结束, 0)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主指标；越低越好</w:t>
            </w:r>
          </w:p>
        </w:tc>
      </w:tr>
      <w:tr w:rsidR="00AD5217" w:rsidRPr="00AD5217" w:rsidTr="00AD5217">
        <w:trPr>
          <w:trHeight w:val="338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最大延迟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最晚一炉的超时程度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max(单炉延迟)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主指标；越低越好</w:t>
            </w:r>
          </w:p>
        </w:tc>
      </w:tr>
      <w:tr w:rsidR="00AD5217" w:rsidRPr="00AD5217" w:rsidTr="00AD5217">
        <w:trPr>
          <w:trHeight w:val="586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相对 AP 改配炉次数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相对预配基线改变的炉次数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逐炉比较钢包/行车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补充；效果接近时越少越好</w:t>
            </w:r>
          </w:p>
        </w:tc>
      </w:tr>
      <w:tr w:rsidR="00AD5217" w:rsidRPr="00AD5217" w:rsidTr="00AD5217">
        <w:trPr>
          <w:trHeight w:val="586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窗口外改配炉次数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是否影响已完成和远期炉次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统计扰动窗口外的变化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补充；必须 0</w:t>
            </w:r>
          </w:p>
        </w:tc>
      </w:tr>
      <w:tr w:rsidR="00AD5217" w:rsidRPr="00AD5217" w:rsidTr="00AD5217">
        <w:trPr>
          <w:trHeight w:val="586"/>
          <w:jc w:val="center"/>
        </w:trPr>
        <w:tc>
          <w:tcPr>
            <w:tcW w:w="1572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资源负载均衡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方案对各行车负载的影响</w:t>
            </w:r>
          </w:p>
        </w:tc>
        <w:tc>
          <w:tcPr>
            <w:tcW w:w="238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负载方差或最大-最小差</w:t>
            </w:r>
          </w:p>
        </w:tc>
        <w:tc>
          <w:tcPr>
            <w:tcW w:w="1949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5217" w:rsidRPr="00AD5217" w:rsidRDefault="00AD5217" w:rsidP="00AD5217">
            <w:pPr>
              <w:spacing w:after="100"/>
              <w:jc w:val="both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5"/>
              </w:rPr>
              <w:t>补充；效果接近时比较</w:t>
            </w:r>
          </w:p>
        </w:tc>
      </w:tr>
    </w:tbl>
    <w:p w:rsidR="00D94DC9" w:rsidRPr="00AD5217" w:rsidRDefault="00D94DC9">
      <w:pPr>
        <w:spacing w:after="20"/>
        <w:rPr>
          <w:rFonts w:ascii="宋体" w:eastAsia="宋体" w:hAnsi="宋体"/>
        </w:rPr>
      </w:pPr>
    </w:p>
    <w:p w:rsidR="00D94DC9" w:rsidRPr="00AD5217" w:rsidRDefault="00AD5217">
      <w:pPr>
        <w:pStyle w:val="1"/>
        <w:keepNext/>
        <w:spacing w:before="280" w:after="100"/>
        <w:rPr>
          <w:rFonts w:ascii="宋体" w:eastAsia="宋体" w:hAnsi="宋体" w:hint="default"/>
        </w:rPr>
      </w:pPr>
      <w:r>
        <w:rPr>
          <w:rFonts w:ascii="宋体" w:eastAsia="宋体" w:hAnsi="宋体" w:hint="default"/>
          <w:color w:val="000000"/>
        </w:rPr>
        <w:t>3</w:t>
      </w:r>
      <w:r w:rsidR="00000000" w:rsidRPr="00AD5217">
        <w:rPr>
          <w:rFonts w:ascii="宋体" w:eastAsia="宋体" w:hAnsi="宋体"/>
          <w:color w:val="000000"/>
        </w:rPr>
        <w:t>. 暂不作为主指标的项目</w:t>
      </w:r>
    </w:p>
    <w:p w:rsidR="00D94DC9" w:rsidRPr="00AD5217" w:rsidRDefault="00000000" w:rsidP="00AD5217">
      <w:pPr>
        <w:spacing w:after="100"/>
        <w:ind w:firstLine="42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以下字段不是没有价值，而是当前数据或实验条件不足以支撑主评价结论。先标记为暂缓，可以避免报告给出超过证据边界的判断。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4500"/>
        <w:gridCol w:w="2400"/>
      </w:tblGrid>
      <w:tr w:rsidR="00D94DC9" w:rsidRPr="00AD5217">
        <w:trPr>
          <w:tblHeader/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7"/>
              </w:rPr>
              <w:t>暂缓指标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7"/>
              </w:rPr>
              <w:t>暂缓原因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7"/>
              </w:rPr>
              <w:t>后续补充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单次离线决策耗时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离线执行的 0 秒不等于真实 API 延迟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接入真实接口，记录平均值和 P95/P99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人工复核率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当前场景库没有现场人工处理时长和升级记录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建立人工基线与升级日志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资源负载方差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当前双线路审计尚未统一汇总各行车负载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按窗口和全天分别统计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lastRenderedPageBreak/>
              <w:t>包龄利用率、等级匹配率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更适合预配包质量；扰动重排缺少现场状态校准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补充钢包状态、等级和包龄真值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简单综合评分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会让低改配掩盖不可行方案，解释性也较弱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保留分层排序，不作为主判定</w:t>
            </w:r>
          </w:p>
        </w:tc>
      </w:tr>
    </w:tbl>
    <w:p w:rsidR="00D94DC9" w:rsidRPr="00AD5217" w:rsidRDefault="00D94DC9">
      <w:pPr>
        <w:spacing w:after="20"/>
        <w:rPr>
          <w:rFonts w:ascii="宋体" w:eastAsia="宋体" w:hAnsi="宋体"/>
        </w:rPr>
      </w:pPr>
    </w:p>
    <w:p w:rsidR="00D94DC9" w:rsidRPr="00AD5217" w:rsidRDefault="00AD5217" w:rsidP="00AD5217">
      <w:pPr>
        <w:pStyle w:val="1"/>
        <w:keepNext/>
        <w:spacing w:before="280" w:after="100"/>
        <w:rPr>
          <w:rFonts w:ascii="宋体" w:eastAsia="宋体" w:hAnsi="宋体"/>
        </w:rPr>
      </w:pPr>
      <w:r>
        <w:rPr>
          <w:rFonts w:ascii="宋体" w:eastAsia="宋体" w:hAnsi="宋体" w:hint="default"/>
          <w:color w:val="000000"/>
        </w:rPr>
        <w:t>4</w:t>
      </w:r>
      <w:r w:rsidR="00000000" w:rsidRPr="00AD5217">
        <w:rPr>
          <w:rFonts w:ascii="宋体" w:eastAsia="宋体" w:hAnsi="宋体"/>
          <w:color w:val="000000"/>
        </w:rPr>
        <w:t>. 下一步计划</w:t>
      </w:r>
    </w:p>
    <w:p w:rsidR="00D94DC9" w:rsidRPr="00AD5217" w:rsidRDefault="00AD5217" w:rsidP="00AD5217">
      <w:pPr>
        <w:spacing w:after="100"/>
        <w:ind w:firstLine="420"/>
        <w:rPr>
          <w:rFonts w:ascii="宋体" w:eastAsia="宋体" w:hAnsi="宋体"/>
        </w:rPr>
      </w:pPr>
      <w:r>
        <w:rPr>
          <w:rFonts w:ascii="宋体" w:eastAsia="宋体" w:hAnsi="宋体"/>
          <w:color w:val="000000"/>
        </w:rPr>
        <w:t>用本次的评价指标重新进行离线回放，看看</w:t>
      </w:r>
      <w:proofErr w:type="spellStart"/>
      <w:r>
        <w:rPr>
          <w:rFonts w:ascii="宋体" w:eastAsia="宋体" w:hAnsi="宋体"/>
          <w:color w:val="000000"/>
        </w:rPr>
        <w:t>l</w:t>
      </w:r>
      <w:r>
        <w:rPr>
          <w:rFonts w:ascii="宋体" w:eastAsia="宋体" w:hAnsi="宋体" w:hint="default"/>
          <w:color w:val="000000"/>
        </w:rPr>
        <w:t>lm</w:t>
      </w:r>
      <w:proofErr w:type="spellEnd"/>
      <w:r>
        <w:rPr>
          <w:rFonts w:ascii="宋体" w:eastAsia="宋体" w:hAnsi="宋体"/>
          <w:color w:val="000000"/>
        </w:rPr>
        <w:t>是否能够在多指标要求下达标胜任钢包重配包的环节。</w:t>
      </w:r>
    </w:p>
    <w:sectPr w:rsidR="00D94DC9" w:rsidRPr="00AD5217">
      <w:headerReference w:type="default" r:id="rId7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40A1" w:rsidRDefault="003440A1">
      <w:pPr>
        <w:rPr>
          <w:rFonts w:hint="default"/>
        </w:rPr>
      </w:pPr>
      <w:r>
        <w:separator/>
      </w:r>
    </w:p>
  </w:endnote>
  <w:endnote w:type="continuationSeparator" w:id="0">
    <w:p w:rsidR="003440A1" w:rsidRDefault="003440A1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40A1" w:rsidRDefault="003440A1">
      <w:pPr>
        <w:rPr>
          <w:rFonts w:hint="default"/>
        </w:rPr>
      </w:pPr>
      <w:r>
        <w:separator/>
      </w:r>
    </w:p>
  </w:footnote>
  <w:footnote w:type="continuationSeparator" w:id="0">
    <w:p w:rsidR="003440A1" w:rsidRDefault="003440A1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42E" w:rsidRDefault="00D8642E">
    <w:pPr>
      <w:jc w:val="center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4F2B"/>
    <w:multiLevelType w:val="hybridMultilevel"/>
    <w:tmpl w:val="C024B900"/>
    <w:lvl w:ilvl="0" w:tplc="EF3466C6">
      <w:start w:val="1"/>
      <w:numFmt w:val="bullet"/>
      <w:lvlText w:val="•"/>
      <w:lvlJc w:val="left"/>
      <w:pPr>
        <w:ind w:left="720" w:hanging="360"/>
      </w:pPr>
    </w:lvl>
    <w:lvl w:ilvl="1" w:tplc="2FCAC28E">
      <w:numFmt w:val="decimal"/>
      <w:lvlText w:val=""/>
      <w:lvlJc w:val="left"/>
    </w:lvl>
    <w:lvl w:ilvl="2" w:tplc="71F2BEEC">
      <w:numFmt w:val="decimal"/>
      <w:lvlText w:val=""/>
      <w:lvlJc w:val="left"/>
    </w:lvl>
    <w:lvl w:ilvl="3" w:tplc="E6E43E18">
      <w:numFmt w:val="decimal"/>
      <w:lvlText w:val=""/>
      <w:lvlJc w:val="left"/>
    </w:lvl>
    <w:lvl w:ilvl="4" w:tplc="9546102A">
      <w:numFmt w:val="decimal"/>
      <w:lvlText w:val=""/>
      <w:lvlJc w:val="left"/>
    </w:lvl>
    <w:lvl w:ilvl="5" w:tplc="A2AC2DC4">
      <w:numFmt w:val="decimal"/>
      <w:lvlText w:val=""/>
      <w:lvlJc w:val="left"/>
    </w:lvl>
    <w:lvl w:ilvl="6" w:tplc="1414C690">
      <w:numFmt w:val="decimal"/>
      <w:lvlText w:val=""/>
      <w:lvlJc w:val="left"/>
    </w:lvl>
    <w:lvl w:ilvl="7" w:tplc="26CCDEB4">
      <w:numFmt w:val="decimal"/>
      <w:lvlText w:val=""/>
      <w:lvlJc w:val="left"/>
    </w:lvl>
    <w:lvl w:ilvl="8" w:tplc="1A18754C">
      <w:numFmt w:val="decimal"/>
      <w:lvlText w:val=""/>
      <w:lvlJc w:val="left"/>
    </w:lvl>
  </w:abstractNum>
  <w:abstractNum w:abstractNumId="1" w15:restartNumberingAfterBreak="0">
    <w:nsid w:val="1B80418B"/>
    <w:multiLevelType w:val="hybridMultilevel"/>
    <w:tmpl w:val="627EE130"/>
    <w:lvl w:ilvl="0" w:tplc="A6C2E792">
      <w:start w:val="1"/>
      <w:numFmt w:val="decimal"/>
      <w:lvlText w:val="%1."/>
      <w:lvlJc w:val="left"/>
      <w:pPr>
        <w:ind w:left="720" w:hanging="360"/>
      </w:pPr>
    </w:lvl>
    <w:lvl w:ilvl="1" w:tplc="773255C4">
      <w:numFmt w:val="decimal"/>
      <w:lvlText w:val=""/>
      <w:lvlJc w:val="left"/>
    </w:lvl>
    <w:lvl w:ilvl="2" w:tplc="CA3E3C14">
      <w:numFmt w:val="decimal"/>
      <w:lvlText w:val=""/>
      <w:lvlJc w:val="left"/>
    </w:lvl>
    <w:lvl w:ilvl="3" w:tplc="31D66B3C">
      <w:numFmt w:val="decimal"/>
      <w:lvlText w:val=""/>
      <w:lvlJc w:val="left"/>
    </w:lvl>
    <w:lvl w:ilvl="4" w:tplc="36EA1E5E">
      <w:numFmt w:val="decimal"/>
      <w:lvlText w:val=""/>
      <w:lvlJc w:val="left"/>
    </w:lvl>
    <w:lvl w:ilvl="5" w:tplc="8782EC4A">
      <w:numFmt w:val="decimal"/>
      <w:lvlText w:val=""/>
      <w:lvlJc w:val="left"/>
    </w:lvl>
    <w:lvl w:ilvl="6" w:tplc="5F0E3542">
      <w:numFmt w:val="decimal"/>
      <w:lvlText w:val=""/>
      <w:lvlJc w:val="left"/>
    </w:lvl>
    <w:lvl w:ilvl="7" w:tplc="6BDC6460">
      <w:numFmt w:val="decimal"/>
      <w:lvlText w:val=""/>
      <w:lvlJc w:val="left"/>
    </w:lvl>
    <w:lvl w:ilvl="8" w:tplc="40345EAE">
      <w:numFmt w:val="decimal"/>
      <w:lvlText w:val=""/>
      <w:lvlJc w:val="left"/>
    </w:lvl>
  </w:abstractNum>
  <w:abstractNum w:abstractNumId="2" w15:restartNumberingAfterBreak="0">
    <w:nsid w:val="3BBC63B6"/>
    <w:multiLevelType w:val="hybridMultilevel"/>
    <w:tmpl w:val="2D021180"/>
    <w:lvl w:ilvl="0" w:tplc="DC2E5168">
      <w:start w:val="1"/>
      <w:numFmt w:val="bullet"/>
      <w:lvlText w:val="●"/>
      <w:lvlJc w:val="left"/>
      <w:pPr>
        <w:ind w:left="720" w:hanging="360"/>
      </w:pPr>
    </w:lvl>
    <w:lvl w:ilvl="1" w:tplc="52782A6A">
      <w:start w:val="1"/>
      <w:numFmt w:val="bullet"/>
      <w:lvlText w:val="○"/>
      <w:lvlJc w:val="left"/>
      <w:pPr>
        <w:ind w:left="1440" w:hanging="360"/>
      </w:pPr>
    </w:lvl>
    <w:lvl w:ilvl="2" w:tplc="7B62BEC8">
      <w:start w:val="1"/>
      <w:numFmt w:val="bullet"/>
      <w:lvlText w:val="■"/>
      <w:lvlJc w:val="left"/>
      <w:pPr>
        <w:ind w:left="2160" w:hanging="360"/>
      </w:pPr>
    </w:lvl>
    <w:lvl w:ilvl="3" w:tplc="9D8A33CE">
      <w:start w:val="1"/>
      <w:numFmt w:val="bullet"/>
      <w:lvlText w:val="●"/>
      <w:lvlJc w:val="left"/>
      <w:pPr>
        <w:ind w:left="2880" w:hanging="360"/>
      </w:pPr>
    </w:lvl>
    <w:lvl w:ilvl="4" w:tplc="E6D06D4E">
      <w:start w:val="1"/>
      <w:numFmt w:val="bullet"/>
      <w:lvlText w:val="○"/>
      <w:lvlJc w:val="left"/>
      <w:pPr>
        <w:ind w:left="3600" w:hanging="360"/>
      </w:pPr>
    </w:lvl>
    <w:lvl w:ilvl="5" w:tplc="AD42662E">
      <w:start w:val="1"/>
      <w:numFmt w:val="bullet"/>
      <w:lvlText w:val="■"/>
      <w:lvlJc w:val="left"/>
      <w:pPr>
        <w:ind w:left="4320" w:hanging="360"/>
      </w:pPr>
    </w:lvl>
    <w:lvl w:ilvl="6" w:tplc="53DA3C82">
      <w:start w:val="1"/>
      <w:numFmt w:val="bullet"/>
      <w:lvlText w:val="●"/>
      <w:lvlJc w:val="left"/>
      <w:pPr>
        <w:ind w:left="5040" w:hanging="360"/>
      </w:pPr>
    </w:lvl>
    <w:lvl w:ilvl="7" w:tplc="D7DA78F0">
      <w:start w:val="1"/>
      <w:numFmt w:val="bullet"/>
      <w:lvlText w:val="●"/>
      <w:lvlJc w:val="left"/>
      <w:pPr>
        <w:ind w:left="5760" w:hanging="360"/>
      </w:pPr>
    </w:lvl>
    <w:lvl w:ilvl="8" w:tplc="FB14D7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9D2901"/>
    <w:multiLevelType w:val="hybridMultilevel"/>
    <w:tmpl w:val="7B143DF6"/>
    <w:lvl w:ilvl="0" w:tplc="002E37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67785172">
    <w:abstractNumId w:val="2"/>
    <w:lvlOverride w:ilvl="0">
      <w:startOverride w:val="1"/>
    </w:lvlOverride>
  </w:num>
  <w:num w:numId="2" w16cid:durableId="1311902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2E"/>
    <w:rsid w:val="00010912"/>
    <w:rsid w:val="00053D5C"/>
    <w:rsid w:val="000A4D02"/>
    <w:rsid w:val="0014422E"/>
    <w:rsid w:val="00323B45"/>
    <w:rsid w:val="003440A1"/>
    <w:rsid w:val="00426B73"/>
    <w:rsid w:val="006A35B7"/>
    <w:rsid w:val="00AD5217"/>
    <w:rsid w:val="00D8642E"/>
    <w:rsid w:val="00D94DC9"/>
    <w:rsid w:val="00E8281C"/>
    <w:rsid w:val="00F3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BFC6D"/>
  <w15:docId w15:val="{488500D1-6EFB-5644-BDE7-31FD26C0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Arial Unicode MS" w:eastAsia="Arial Unicode MS" w:hAnsi="Arial Unicode MS" w:cs="Arial Unicode MS" w:hint="eastAsia"/>
      <w:sz w:val="21"/>
      <w:lang w:bidi="en-US"/>
    </w:rPr>
  </w:style>
  <w:style w:type="paragraph" w:styleId="1">
    <w:name w:val="heading 1"/>
    <w:uiPriority w:val="9"/>
    <w:qFormat/>
    <w:pPr>
      <w:spacing w:before="320" w:after="120" w:line="360" w:lineRule="auto"/>
      <w:outlineLvl w:val="0"/>
    </w:pPr>
    <w:rPr>
      <w:rFonts w:ascii="Arial Unicode MS" w:eastAsia="Arial Unicode MS" w:hAnsi="Arial Unicode MS" w:cs="Arial Unicode MS" w:hint="eastAsia"/>
      <w:b/>
      <w:bCs/>
      <w:sz w:val="32"/>
      <w:szCs w:val="32"/>
      <w:lang w:bidi="en-US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rFonts w:ascii="Arial Unicode MS" w:eastAsia="Arial Unicode MS" w:hAnsi="Arial Unicode MS" w:cs="Arial Unicode MS" w:hint="eastAsia"/>
      <w:b/>
      <w:bCs/>
      <w:sz w:val="27"/>
      <w:szCs w:val="28"/>
      <w:lang w:bidi="en-US"/>
    </w:rPr>
  </w:style>
  <w:style w:type="paragraph" w:styleId="3">
    <w:name w:val="heading 3"/>
    <w:uiPriority w:val="9"/>
    <w:semiHidden/>
    <w:unhideWhenUsed/>
    <w:qFormat/>
    <w:pPr>
      <w:spacing w:line="360" w:lineRule="auto"/>
      <w:outlineLvl w:val="2"/>
    </w:pPr>
    <w:rPr>
      <w:rFonts w:ascii="Arial Unicode MS" w:eastAsia="Arial Unicode MS" w:hAnsi="Arial Unicode MS" w:cs="Arial Unicode MS" w:hint="eastAsia"/>
      <w:color w:val="1F4D78"/>
      <w:lang w:bidi="en-US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line="360" w:lineRule="auto"/>
    </w:pPr>
    <w:rPr>
      <w:rFonts w:ascii="Arial Unicode MS" w:eastAsia="Arial Unicode MS" w:hAnsi="Arial Unicode MS" w:cs="Arial Unicode MS" w:hint="eastAsia"/>
      <w:sz w:val="56"/>
      <w:szCs w:val="56"/>
      <w:lang w:bidi="en-US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4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4422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442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4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2026-09-08T07:44:00Z</dcterms:created>
  <dcterms:modified xsi:type="dcterms:W3CDTF">2026-09-08T07:44:00Z</dcterms:modified>
</cp:coreProperties>
</file>