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94DC9" w:rsidRPr="00AD5217" w:rsidRDefault="00751874">
      <w:pPr>
        <w:spacing w:after="80"/>
        <w:jc w:val="center"/>
        <w:rPr>
          <w:rFonts w:ascii="宋体" w:eastAsia="宋体" w:hAnsi="宋体"/>
        </w:rPr>
      </w:pPr>
      <w:r>
        <w:rPr>
          <w:rFonts w:ascii="宋体" w:eastAsia="宋体" w:hAnsi="宋体"/>
          <w:b/>
          <w:color w:val="000000"/>
          <w:sz w:val="56"/>
        </w:rPr>
        <w:t>钢包重排包可视化展示</w:t>
      </w:r>
    </w:p>
    <w:p w:rsidR="00D94DC9" w:rsidRPr="00AD5217" w:rsidRDefault="00D94DC9">
      <w:pPr>
        <w:spacing w:after="40"/>
        <w:rPr>
          <w:rFonts w:ascii="宋体" w:eastAsia="宋体" w:hAnsi="宋体" w:hint="default"/>
        </w:rPr>
      </w:pPr>
    </w:p>
    <w:p w:rsidR="00D94DC9" w:rsidRPr="00AD5217" w:rsidRDefault="00000000">
      <w:pPr>
        <w:pStyle w:val="1"/>
        <w:keepNext/>
        <w:spacing w:before="280" w:after="100"/>
        <w:rPr>
          <w:rFonts w:ascii="宋体" w:eastAsia="宋体" w:hAnsi="宋体" w:hint="default"/>
        </w:rPr>
      </w:pPr>
      <w:r w:rsidRPr="00AD5217">
        <w:rPr>
          <w:rFonts w:ascii="宋体" w:eastAsia="宋体" w:hAnsi="宋体"/>
          <w:color w:val="000000"/>
        </w:rPr>
        <w:t>1. 本周结论</w:t>
      </w:r>
    </w:p>
    <w:p w:rsidR="00D94DC9" w:rsidRPr="00AD5217" w:rsidRDefault="00000000" w:rsidP="00AD5217">
      <w:pPr>
        <w:spacing w:after="100"/>
        <w:ind w:firstLine="420"/>
        <w:rPr>
          <w:rFonts w:ascii="宋体" w:eastAsia="宋体" w:hAnsi="宋体" w:hint="default"/>
        </w:rPr>
      </w:pPr>
      <w:r w:rsidRPr="00AD5217">
        <w:rPr>
          <w:rFonts w:ascii="宋体" w:eastAsia="宋体" w:hAnsi="宋体"/>
          <w:color w:val="000000"/>
        </w:rPr>
        <w:t>本周完成了评价指标的筛选与真实数据回放验证。最终不采用简单加权总分，而采用“硬门槛 + 分层排序”：先判断方案能不能安全下发，再比较生产效果，最后用计划稳定性做平局裁决。这样可以避免“改配少”掩盖“方案不可执行”。</w:t>
      </w:r>
    </w:p>
    <w:tbl>
      <w:tblPr>
        <w:tblW w:w="9500" w:type="dxa"/>
        <w:jc w:val="center"/>
        <w:tblLayout w:type="fixed"/>
        <w:tblLook w:val="04A0" w:firstRow="1" w:lastRow="0" w:firstColumn="1" w:lastColumn="0" w:noHBand="0" w:noVBand="1"/>
      </w:tblPr>
      <w:tblGrid>
        <w:gridCol w:w="9500"/>
      </w:tblGrid>
      <w:tr w:rsidR="00D94DC9" w:rsidRPr="00AD5217">
        <w:trPr>
          <w:jc w:val="center"/>
        </w:trPr>
        <w:tc>
          <w:tcPr>
            <w:tcW w:w="9500" w:type="dxa"/>
            <w:tcBorders>
              <w:top w:val="single" w:sz="8" w:space="0" w:color="A7C6E2"/>
              <w:left w:val="single" w:sz="8" w:space="0" w:color="A7C6E2"/>
              <w:bottom w:val="single" w:sz="8" w:space="0" w:color="A7C6E2"/>
              <w:right w:val="single" w:sz="8" w:space="0" w:color="A7C6E2"/>
            </w:tcBorders>
            <w:shd w:val="clear" w:color="auto" w:fill="EAF3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DC9" w:rsidRPr="00AD5217" w:rsidRDefault="00000000">
            <w:pPr>
              <w:spacing w:after="100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20"/>
              </w:rPr>
              <w:t>已确定：主评价指标为完整分配率、硬约束违反、资源/路线合法性、按时率、平均延迟和最大延迟；改配规模、窗口外影响和负载均衡作为稳定性补充指标。</w:t>
            </w:r>
          </w:p>
        </w:tc>
      </w:tr>
    </w:tbl>
    <w:p w:rsidR="00D94DC9" w:rsidRPr="00AD5217" w:rsidRDefault="00D94DC9">
      <w:pPr>
        <w:spacing w:after="20"/>
        <w:rPr>
          <w:rFonts w:ascii="宋体" w:eastAsia="宋体" w:hAnsi="宋体" w:hint="default"/>
        </w:rPr>
      </w:pPr>
    </w:p>
    <w:tbl>
      <w:tblPr>
        <w:tblW w:w="950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000"/>
        <w:gridCol w:w="4700"/>
      </w:tblGrid>
      <w:tr w:rsidR="00D94DC9" w:rsidRPr="00AD5217">
        <w:trPr>
          <w:tblHeader/>
          <w:jc w:val="center"/>
        </w:trPr>
        <w:tc>
          <w:tcPr>
            <w:tcW w:w="18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shd w:val="clear" w:color="auto" w:fill="1F4D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DC9" w:rsidRPr="00AD5217" w:rsidRDefault="00000000">
            <w:pPr>
              <w:spacing w:after="100"/>
              <w:jc w:val="center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b/>
                <w:color w:val="FFFFFF"/>
                <w:sz w:val="18"/>
              </w:rPr>
              <w:t>层级</w:t>
            </w:r>
          </w:p>
        </w:tc>
        <w:tc>
          <w:tcPr>
            <w:tcW w:w="30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shd w:val="clear" w:color="auto" w:fill="1F4D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DC9" w:rsidRPr="00AD5217" w:rsidRDefault="00000000">
            <w:pPr>
              <w:spacing w:after="100"/>
              <w:jc w:val="center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b/>
                <w:color w:val="FFFFFF"/>
                <w:sz w:val="18"/>
              </w:rPr>
              <w:t>要回答的问题</w:t>
            </w:r>
          </w:p>
        </w:tc>
        <w:tc>
          <w:tcPr>
            <w:tcW w:w="47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shd w:val="clear" w:color="auto" w:fill="1F4D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DC9" w:rsidRPr="00AD5217" w:rsidRDefault="00000000">
            <w:pPr>
              <w:spacing w:after="100"/>
              <w:jc w:val="center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b/>
                <w:color w:val="FFFFFF"/>
                <w:sz w:val="18"/>
              </w:rPr>
              <w:t>本周结论</w:t>
            </w:r>
          </w:p>
        </w:tc>
      </w:tr>
      <w:tr w:rsidR="00D94DC9" w:rsidRPr="00AD5217">
        <w:trPr>
          <w:jc w:val="center"/>
        </w:trPr>
        <w:tc>
          <w:tcPr>
            <w:tcW w:w="18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94DC9" w:rsidRPr="00AD5217" w:rsidRDefault="00000000">
            <w:pPr>
              <w:spacing w:after="100"/>
              <w:jc w:val="center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8"/>
              </w:rPr>
              <w:t>第一层：可行性</w:t>
            </w:r>
          </w:p>
        </w:tc>
        <w:tc>
          <w:tcPr>
            <w:tcW w:w="30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94DC9" w:rsidRPr="00AD5217" w:rsidRDefault="00000000">
            <w:pPr>
              <w:spacing w:after="100"/>
              <w:jc w:val="center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8"/>
              </w:rPr>
              <w:t>方案能不能安全下发？</w:t>
            </w:r>
          </w:p>
        </w:tc>
        <w:tc>
          <w:tcPr>
            <w:tcW w:w="47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94DC9" w:rsidRPr="00AD5217" w:rsidRDefault="00000000">
            <w:pPr>
              <w:spacing w:after="100"/>
              <w:jc w:val="center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8"/>
              </w:rPr>
              <w:t>完整分配必须 100%；硬约束必须 0；资源与路线必须合法。</w:t>
            </w:r>
          </w:p>
        </w:tc>
      </w:tr>
      <w:tr w:rsidR="00D94DC9" w:rsidRPr="00AD5217">
        <w:trPr>
          <w:jc w:val="center"/>
        </w:trPr>
        <w:tc>
          <w:tcPr>
            <w:tcW w:w="18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94DC9" w:rsidRPr="00AD5217" w:rsidRDefault="00000000">
            <w:pPr>
              <w:spacing w:after="100"/>
              <w:jc w:val="center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8"/>
              </w:rPr>
              <w:t>第二层：生产效果</w:t>
            </w:r>
          </w:p>
        </w:tc>
        <w:tc>
          <w:tcPr>
            <w:tcW w:w="30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94DC9" w:rsidRPr="00AD5217" w:rsidRDefault="00000000">
            <w:pPr>
              <w:spacing w:after="100"/>
              <w:jc w:val="center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8"/>
              </w:rPr>
              <w:t>可行方案谁更少延误？</w:t>
            </w:r>
          </w:p>
        </w:tc>
        <w:tc>
          <w:tcPr>
            <w:tcW w:w="47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94DC9" w:rsidRPr="00AD5217" w:rsidRDefault="00000000">
            <w:pPr>
              <w:spacing w:after="100"/>
              <w:jc w:val="center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8"/>
              </w:rPr>
              <w:t>按时率优先，其次平均延迟、最大延迟。</w:t>
            </w:r>
          </w:p>
        </w:tc>
      </w:tr>
      <w:tr w:rsidR="00D94DC9" w:rsidRPr="00AD5217">
        <w:trPr>
          <w:jc w:val="center"/>
        </w:trPr>
        <w:tc>
          <w:tcPr>
            <w:tcW w:w="18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94DC9" w:rsidRPr="00AD5217" w:rsidRDefault="00000000">
            <w:pPr>
              <w:spacing w:after="100"/>
              <w:jc w:val="center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8"/>
              </w:rPr>
              <w:t>第三层：计划稳定性</w:t>
            </w:r>
          </w:p>
        </w:tc>
        <w:tc>
          <w:tcPr>
            <w:tcW w:w="30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94DC9" w:rsidRPr="00AD5217" w:rsidRDefault="00000000">
            <w:pPr>
              <w:spacing w:after="100"/>
              <w:jc w:val="center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8"/>
              </w:rPr>
              <w:t>效果接近时谁改动更小？</w:t>
            </w:r>
          </w:p>
        </w:tc>
        <w:tc>
          <w:tcPr>
            <w:tcW w:w="47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94DC9" w:rsidRPr="00AD5217" w:rsidRDefault="00000000">
            <w:pPr>
              <w:spacing w:after="100"/>
              <w:jc w:val="center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8"/>
              </w:rPr>
              <w:t>比较 AP 基线改配、窗口外影响和资源负载。</w:t>
            </w:r>
          </w:p>
        </w:tc>
      </w:tr>
    </w:tbl>
    <w:p w:rsidR="00D94DC9" w:rsidRPr="00AD5217" w:rsidRDefault="00D94DC9">
      <w:pPr>
        <w:spacing w:after="20"/>
        <w:rPr>
          <w:rFonts w:ascii="宋体" w:eastAsia="宋体" w:hAnsi="宋体" w:hint="default"/>
        </w:rPr>
      </w:pPr>
    </w:p>
    <w:p w:rsidR="00D94DC9" w:rsidRDefault="00000000">
      <w:pPr>
        <w:pStyle w:val="1"/>
        <w:keepNext/>
        <w:spacing w:before="280" w:after="100"/>
        <w:rPr>
          <w:rFonts w:ascii="宋体" w:eastAsia="宋体" w:hAnsi="宋体" w:hint="default"/>
          <w:color w:val="000000"/>
        </w:rPr>
      </w:pPr>
      <w:r w:rsidRPr="00AD5217">
        <w:rPr>
          <w:rFonts w:ascii="宋体" w:eastAsia="宋体" w:hAnsi="宋体"/>
          <w:color w:val="000000"/>
        </w:rPr>
        <w:lastRenderedPageBreak/>
        <w:t>2. 指标筛选方法</w:t>
      </w:r>
    </w:p>
    <w:p w:rsidR="00751874" w:rsidRDefault="00751874">
      <w:pPr>
        <w:pStyle w:val="1"/>
        <w:keepNext/>
        <w:spacing w:before="280" w:after="100"/>
        <w:rPr>
          <w:rFonts w:ascii="宋体" w:eastAsia="宋体" w:hAnsi="宋体"/>
          <w:color w:val="000000"/>
        </w:rPr>
      </w:pPr>
      <w:r w:rsidRPr="00751874">
        <w:rPr>
          <w:rFonts w:ascii="宋体" w:eastAsia="宋体" w:hAnsi="宋体"/>
          <w:color w:val="000000"/>
        </w:rPr>
        <w:drawing>
          <wp:inline distT="0" distB="0" distL="0" distR="0" wp14:anchorId="6742A6FA" wp14:editId="66643194">
            <wp:extent cx="6036310" cy="5012055"/>
            <wp:effectExtent l="0" t="0" r="0" b="4445"/>
            <wp:docPr id="5938025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8025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501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874" w:rsidRDefault="00751874">
      <w:pPr>
        <w:pStyle w:val="1"/>
        <w:keepNext/>
        <w:spacing w:before="280" w:after="100"/>
        <w:rPr>
          <w:rFonts w:ascii="宋体" w:eastAsia="宋体" w:hAnsi="宋体"/>
          <w:color w:val="000000"/>
        </w:rPr>
      </w:pPr>
      <w:r w:rsidRPr="00751874">
        <w:rPr>
          <w:rFonts w:ascii="宋体" w:eastAsia="宋体" w:hAnsi="宋体"/>
          <w:color w:val="000000"/>
        </w:rPr>
        <w:drawing>
          <wp:inline distT="0" distB="0" distL="0" distR="0" wp14:anchorId="44D2AD1F" wp14:editId="6DC68039">
            <wp:extent cx="6036310" cy="1931035"/>
            <wp:effectExtent l="0" t="0" r="0" b="0"/>
            <wp:docPr id="8243288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3288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874" w:rsidRPr="00AD5217" w:rsidRDefault="00751874">
      <w:pPr>
        <w:pStyle w:val="1"/>
        <w:keepNext/>
        <w:spacing w:before="280" w:after="100"/>
        <w:rPr>
          <w:rFonts w:ascii="宋体" w:eastAsia="宋体" w:hAnsi="宋体"/>
        </w:rPr>
      </w:pPr>
      <w:r w:rsidRPr="00751874">
        <w:rPr>
          <w:rFonts w:ascii="宋体" w:eastAsia="宋体" w:hAnsi="宋体"/>
        </w:rPr>
        <w:lastRenderedPageBreak/>
        <w:drawing>
          <wp:inline distT="0" distB="0" distL="0" distR="0" wp14:anchorId="5730A251" wp14:editId="2CAB958E">
            <wp:extent cx="6036310" cy="4483100"/>
            <wp:effectExtent l="0" t="0" r="0" b="0"/>
            <wp:docPr id="10859266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9266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DC9" w:rsidRPr="00AD5217" w:rsidRDefault="00751874">
      <w:pPr>
        <w:spacing w:after="20"/>
        <w:rPr>
          <w:rFonts w:ascii="宋体" w:eastAsia="宋体" w:hAnsi="宋体" w:hint="default"/>
        </w:rPr>
      </w:pPr>
      <w:r w:rsidRPr="00751874">
        <w:rPr>
          <w:rFonts w:ascii="宋体" w:eastAsia="宋体" w:hAnsi="宋体"/>
        </w:rPr>
        <w:lastRenderedPageBreak/>
        <w:drawing>
          <wp:inline distT="0" distB="0" distL="0" distR="0" wp14:anchorId="418917C0" wp14:editId="2F753294">
            <wp:extent cx="6036310" cy="4718050"/>
            <wp:effectExtent l="0" t="0" r="0" b="6350"/>
            <wp:docPr id="2482042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042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471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DC9" w:rsidRPr="00AD5217" w:rsidRDefault="00AD5217">
      <w:pPr>
        <w:pStyle w:val="1"/>
        <w:keepNext/>
        <w:spacing w:before="280" w:after="100"/>
        <w:rPr>
          <w:rFonts w:ascii="宋体" w:eastAsia="宋体" w:hAnsi="宋体" w:hint="default"/>
        </w:rPr>
      </w:pPr>
      <w:r>
        <w:rPr>
          <w:rFonts w:ascii="宋体" w:eastAsia="宋体" w:hAnsi="宋体" w:hint="default"/>
          <w:color w:val="000000"/>
        </w:rPr>
        <w:t>3</w:t>
      </w:r>
      <w:r w:rsidRPr="00AD5217">
        <w:rPr>
          <w:rFonts w:ascii="宋体" w:eastAsia="宋体" w:hAnsi="宋体"/>
          <w:color w:val="000000"/>
        </w:rPr>
        <w:t>. 暂不作为主指标的项目</w:t>
      </w:r>
    </w:p>
    <w:p w:rsidR="00D94DC9" w:rsidRPr="00AD5217" w:rsidRDefault="00000000" w:rsidP="00AD5217">
      <w:pPr>
        <w:spacing w:after="100"/>
        <w:ind w:firstLine="420"/>
        <w:rPr>
          <w:rFonts w:ascii="宋体" w:eastAsia="宋体" w:hAnsi="宋体" w:hint="default"/>
        </w:rPr>
      </w:pPr>
      <w:r w:rsidRPr="00AD5217">
        <w:rPr>
          <w:rFonts w:ascii="宋体" w:eastAsia="宋体" w:hAnsi="宋体"/>
          <w:color w:val="000000"/>
        </w:rPr>
        <w:t>以下字段不是没有价值，而是当前数据或实验条件不足以支撑主评价结论。先标记为暂缓，可以避免报告给出超过证据边界的判断。</w:t>
      </w:r>
    </w:p>
    <w:tbl>
      <w:tblPr>
        <w:tblW w:w="9500" w:type="dxa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4500"/>
        <w:gridCol w:w="2400"/>
      </w:tblGrid>
      <w:tr w:rsidR="00D94DC9" w:rsidRPr="00AD5217">
        <w:trPr>
          <w:tblHeader/>
          <w:jc w:val="center"/>
        </w:trPr>
        <w:tc>
          <w:tcPr>
            <w:tcW w:w="26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shd w:val="clear" w:color="auto" w:fill="1F4D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DC9" w:rsidRPr="00AD5217" w:rsidRDefault="00000000">
            <w:pPr>
              <w:spacing w:after="100"/>
              <w:jc w:val="center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b/>
                <w:color w:val="FFFFFF"/>
                <w:sz w:val="17"/>
              </w:rPr>
              <w:t>暂缓指标</w:t>
            </w:r>
          </w:p>
        </w:tc>
        <w:tc>
          <w:tcPr>
            <w:tcW w:w="45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shd w:val="clear" w:color="auto" w:fill="1F4D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DC9" w:rsidRPr="00AD5217" w:rsidRDefault="00000000">
            <w:pPr>
              <w:spacing w:after="100"/>
              <w:jc w:val="center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b/>
                <w:color w:val="FFFFFF"/>
                <w:sz w:val="17"/>
              </w:rPr>
              <w:t>暂缓原因</w:t>
            </w:r>
          </w:p>
        </w:tc>
        <w:tc>
          <w:tcPr>
            <w:tcW w:w="24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shd w:val="clear" w:color="auto" w:fill="1F4D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DC9" w:rsidRPr="00AD5217" w:rsidRDefault="00000000">
            <w:pPr>
              <w:spacing w:after="100"/>
              <w:jc w:val="center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b/>
                <w:color w:val="FFFFFF"/>
                <w:sz w:val="17"/>
              </w:rPr>
              <w:t>后续补充</w:t>
            </w:r>
          </w:p>
        </w:tc>
      </w:tr>
      <w:tr w:rsidR="00D94DC9" w:rsidRPr="00AD5217">
        <w:trPr>
          <w:jc w:val="center"/>
        </w:trPr>
        <w:tc>
          <w:tcPr>
            <w:tcW w:w="26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94DC9" w:rsidRPr="00AD5217" w:rsidRDefault="00000000">
            <w:pPr>
              <w:spacing w:after="100"/>
              <w:jc w:val="center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7"/>
              </w:rPr>
              <w:t>单次离线决策耗时</w:t>
            </w:r>
          </w:p>
        </w:tc>
        <w:tc>
          <w:tcPr>
            <w:tcW w:w="45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94DC9" w:rsidRPr="00AD5217" w:rsidRDefault="00000000">
            <w:pPr>
              <w:spacing w:after="100"/>
              <w:jc w:val="center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7"/>
              </w:rPr>
              <w:t>离线执行的 0 秒不等于真实 API 延迟</w:t>
            </w:r>
          </w:p>
        </w:tc>
        <w:tc>
          <w:tcPr>
            <w:tcW w:w="24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94DC9" w:rsidRPr="00AD5217" w:rsidRDefault="00000000">
            <w:pPr>
              <w:spacing w:after="100"/>
              <w:jc w:val="center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7"/>
              </w:rPr>
              <w:t>接入真实接口，记录平均值和 P95/P99</w:t>
            </w:r>
          </w:p>
        </w:tc>
      </w:tr>
      <w:tr w:rsidR="00D94DC9" w:rsidRPr="00AD5217">
        <w:trPr>
          <w:jc w:val="center"/>
        </w:trPr>
        <w:tc>
          <w:tcPr>
            <w:tcW w:w="26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94DC9" w:rsidRPr="00AD5217" w:rsidRDefault="00000000">
            <w:pPr>
              <w:spacing w:after="100"/>
              <w:jc w:val="center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7"/>
              </w:rPr>
              <w:t>人工复核率</w:t>
            </w:r>
          </w:p>
        </w:tc>
        <w:tc>
          <w:tcPr>
            <w:tcW w:w="45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94DC9" w:rsidRPr="00AD5217" w:rsidRDefault="00000000">
            <w:pPr>
              <w:spacing w:after="100"/>
              <w:jc w:val="center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7"/>
              </w:rPr>
              <w:t>当前场景库没有现场人工处理时长和升级记录</w:t>
            </w:r>
          </w:p>
        </w:tc>
        <w:tc>
          <w:tcPr>
            <w:tcW w:w="24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94DC9" w:rsidRPr="00AD5217" w:rsidRDefault="00000000">
            <w:pPr>
              <w:spacing w:after="100"/>
              <w:jc w:val="center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7"/>
              </w:rPr>
              <w:t>建立人工基线与升级日志</w:t>
            </w:r>
          </w:p>
        </w:tc>
      </w:tr>
      <w:tr w:rsidR="00D94DC9" w:rsidRPr="00AD5217">
        <w:trPr>
          <w:jc w:val="center"/>
        </w:trPr>
        <w:tc>
          <w:tcPr>
            <w:tcW w:w="26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94DC9" w:rsidRPr="00AD5217" w:rsidRDefault="00000000">
            <w:pPr>
              <w:spacing w:after="100"/>
              <w:jc w:val="center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7"/>
              </w:rPr>
              <w:t>资源负载方差</w:t>
            </w:r>
          </w:p>
        </w:tc>
        <w:tc>
          <w:tcPr>
            <w:tcW w:w="45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94DC9" w:rsidRPr="00AD5217" w:rsidRDefault="00000000">
            <w:pPr>
              <w:spacing w:after="100"/>
              <w:jc w:val="center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7"/>
              </w:rPr>
              <w:t>当前双线路审计尚未统一汇总各行车负载</w:t>
            </w:r>
          </w:p>
        </w:tc>
        <w:tc>
          <w:tcPr>
            <w:tcW w:w="24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94DC9" w:rsidRPr="00AD5217" w:rsidRDefault="00000000">
            <w:pPr>
              <w:spacing w:after="100"/>
              <w:jc w:val="center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7"/>
              </w:rPr>
              <w:t>按窗口和全天分别统计</w:t>
            </w:r>
          </w:p>
        </w:tc>
      </w:tr>
      <w:tr w:rsidR="00D94DC9" w:rsidRPr="00AD5217">
        <w:trPr>
          <w:jc w:val="center"/>
        </w:trPr>
        <w:tc>
          <w:tcPr>
            <w:tcW w:w="26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94DC9" w:rsidRPr="00AD5217" w:rsidRDefault="00000000">
            <w:pPr>
              <w:spacing w:after="100"/>
              <w:jc w:val="center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7"/>
              </w:rPr>
              <w:t>包龄利用率、等级匹配率</w:t>
            </w:r>
          </w:p>
        </w:tc>
        <w:tc>
          <w:tcPr>
            <w:tcW w:w="45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94DC9" w:rsidRPr="00AD5217" w:rsidRDefault="00000000">
            <w:pPr>
              <w:spacing w:after="100"/>
              <w:jc w:val="center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7"/>
              </w:rPr>
              <w:t>更适合预配包质量；扰动重排缺少现场状态校准</w:t>
            </w:r>
          </w:p>
        </w:tc>
        <w:tc>
          <w:tcPr>
            <w:tcW w:w="24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94DC9" w:rsidRPr="00AD5217" w:rsidRDefault="00000000">
            <w:pPr>
              <w:spacing w:after="100"/>
              <w:jc w:val="center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7"/>
              </w:rPr>
              <w:t>补充钢包状态、等级和包龄真值</w:t>
            </w:r>
          </w:p>
        </w:tc>
      </w:tr>
      <w:tr w:rsidR="00D94DC9" w:rsidRPr="00AD5217">
        <w:trPr>
          <w:jc w:val="center"/>
        </w:trPr>
        <w:tc>
          <w:tcPr>
            <w:tcW w:w="26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94DC9" w:rsidRPr="00AD5217" w:rsidRDefault="00000000">
            <w:pPr>
              <w:spacing w:after="100"/>
              <w:jc w:val="center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7"/>
              </w:rPr>
              <w:lastRenderedPageBreak/>
              <w:t>简单综合评分</w:t>
            </w:r>
          </w:p>
        </w:tc>
        <w:tc>
          <w:tcPr>
            <w:tcW w:w="45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94DC9" w:rsidRPr="00AD5217" w:rsidRDefault="00000000">
            <w:pPr>
              <w:spacing w:after="100"/>
              <w:jc w:val="center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7"/>
              </w:rPr>
              <w:t>会让低改配掩盖不可行方案，解释性也较弱</w:t>
            </w:r>
          </w:p>
        </w:tc>
        <w:tc>
          <w:tcPr>
            <w:tcW w:w="24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94DC9" w:rsidRPr="00AD5217" w:rsidRDefault="00000000">
            <w:pPr>
              <w:spacing w:after="100"/>
              <w:jc w:val="center"/>
              <w:rPr>
                <w:rFonts w:ascii="宋体" w:eastAsia="宋体" w:hAnsi="宋体" w:hint="default"/>
              </w:rPr>
            </w:pPr>
            <w:r w:rsidRPr="00AD5217">
              <w:rPr>
                <w:rFonts w:ascii="宋体" w:eastAsia="宋体" w:hAnsi="宋体"/>
                <w:color w:val="000000"/>
                <w:sz w:val="17"/>
              </w:rPr>
              <w:t>保留分层排序，不作为主判定</w:t>
            </w:r>
          </w:p>
        </w:tc>
      </w:tr>
    </w:tbl>
    <w:p w:rsidR="00D94DC9" w:rsidRPr="00AD5217" w:rsidRDefault="00D94DC9">
      <w:pPr>
        <w:spacing w:after="20"/>
        <w:rPr>
          <w:rFonts w:ascii="宋体" w:eastAsia="宋体" w:hAnsi="宋体" w:hint="default"/>
        </w:rPr>
      </w:pPr>
    </w:p>
    <w:p w:rsidR="00D94DC9" w:rsidRPr="00AD5217" w:rsidRDefault="00AD5217" w:rsidP="00AD5217">
      <w:pPr>
        <w:pStyle w:val="1"/>
        <w:keepNext/>
        <w:spacing w:before="280" w:after="100"/>
        <w:rPr>
          <w:rFonts w:ascii="宋体" w:eastAsia="宋体" w:hAnsi="宋体" w:hint="default"/>
        </w:rPr>
      </w:pPr>
      <w:r>
        <w:rPr>
          <w:rFonts w:ascii="宋体" w:eastAsia="宋体" w:hAnsi="宋体" w:hint="default"/>
          <w:color w:val="000000"/>
        </w:rPr>
        <w:t>4</w:t>
      </w:r>
      <w:r w:rsidRPr="00AD5217">
        <w:rPr>
          <w:rFonts w:ascii="宋体" w:eastAsia="宋体" w:hAnsi="宋体"/>
          <w:color w:val="000000"/>
        </w:rPr>
        <w:t>. 下一步计划</w:t>
      </w:r>
    </w:p>
    <w:p w:rsidR="00D94DC9" w:rsidRPr="00AD5217" w:rsidRDefault="00AD5217" w:rsidP="00AD5217">
      <w:pPr>
        <w:spacing w:after="100"/>
        <w:ind w:firstLine="420"/>
        <w:rPr>
          <w:rFonts w:ascii="宋体" w:eastAsia="宋体" w:hAnsi="宋体" w:hint="default"/>
        </w:rPr>
      </w:pPr>
      <w:r>
        <w:rPr>
          <w:rFonts w:ascii="宋体" w:eastAsia="宋体" w:hAnsi="宋体"/>
          <w:color w:val="000000"/>
        </w:rPr>
        <w:t>用本次的评价指标重新进行离线回放，看看</w:t>
      </w:r>
      <w:proofErr w:type="spellStart"/>
      <w:r>
        <w:rPr>
          <w:rFonts w:ascii="宋体" w:eastAsia="宋体" w:hAnsi="宋体"/>
          <w:color w:val="000000"/>
        </w:rPr>
        <w:t>l</w:t>
      </w:r>
      <w:r>
        <w:rPr>
          <w:rFonts w:ascii="宋体" w:eastAsia="宋体" w:hAnsi="宋体" w:hint="default"/>
          <w:color w:val="000000"/>
        </w:rPr>
        <w:t>lm</w:t>
      </w:r>
      <w:proofErr w:type="spellEnd"/>
      <w:r>
        <w:rPr>
          <w:rFonts w:ascii="宋体" w:eastAsia="宋体" w:hAnsi="宋体"/>
          <w:color w:val="000000"/>
        </w:rPr>
        <w:t>是否能够在多指标要求下达标胜任钢包重配包的环节。</w:t>
      </w:r>
    </w:p>
    <w:sectPr w:rsidR="00D94DC9" w:rsidRPr="00AD5217">
      <w:headerReference w:type="default" r:id="rId11"/>
      <w:pgSz w:w="11906" w:h="16838"/>
      <w:pgMar w:top="1440" w:right="1200" w:bottom="144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964BF" w:rsidRDefault="00B964BF">
      <w:pPr>
        <w:rPr>
          <w:rFonts w:hint="default"/>
        </w:rPr>
      </w:pPr>
      <w:r>
        <w:separator/>
      </w:r>
    </w:p>
  </w:endnote>
  <w:endnote w:type="continuationSeparator" w:id="0">
    <w:p w:rsidR="00B964BF" w:rsidRDefault="00B964BF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964BF" w:rsidRDefault="00B964BF">
      <w:pPr>
        <w:rPr>
          <w:rFonts w:hint="default"/>
        </w:rPr>
      </w:pPr>
      <w:r>
        <w:separator/>
      </w:r>
    </w:p>
  </w:footnote>
  <w:footnote w:type="continuationSeparator" w:id="0">
    <w:p w:rsidR="00B964BF" w:rsidRDefault="00B964BF">
      <w:pPr>
        <w:rPr>
          <w:rFonts w:hint="default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8642E" w:rsidRDefault="00D8642E">
    <w:pPr>
      <w:jc w:val="center"/>
      <w:rPr>
        <w:rFonts w:hint="defaul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64F2B"/>
    <w:multiLevelType w:val="hybridMultilevel"/>
    <w:tmpl w:val="C024B900"/>
    <w:lvl w:ilvl="0" w:tplc="EF3466C6">
      <w:start w:val="1"/>
      <w:numFmt w:val="bullet"/>
      <w:lvlText w:val="•"/>
      <w:lvlJc w:val="left"/>
      <w:pPr>
        <w:ind w:left="720" w:hanging="360"/>
      </w:pPr>
    </w:lvl>
    <w:lvl w:ilvl="1" w:tplc="2FCAC28E">
      <w:numFmt w:val="decimal"/>
      <w:lvlText w:val=""/>
      <w:lvlJc w:val="left"/>
    </w:lvl>
    <w:lvl w:ilvl="2" w:tplc="71F2BEEC">
      <w:numFmt w:val="decimal"/>
      <w:lvlText w:val=""/>
      <w:lvlJc w:val="left"/>
    </w:lvl>
    <w:lvl w:ilvl="3" w:tplc="E6E43E18">
      <w:numFmt w:val="decimal"/>
      <w:lvlText w:val=""/>
      <w:lvlJc w:val="left"/>
    </w:lvl>
    <w:lvl w:ilvl="4" w:tplc="9546102A">
      <w:numFmt w:val="decimal"/>
      <w:lvlText w:val=""/>
      <w:lvlJc w:val="left"/>
    </w:lvl>
    <w:lvl w:ilvl="5" w:tplc="A2AC2DC4">
      <w:numFmt w:val="decimal"/>
      <w:lvlText w:val=""/>
      <w:lvlJc w:val="left"/>
    </w:lvl>
    <w:lvl w:ilvl="6" w:tplc="1414C690">
      <w:numFmt w:val="decimal"/>
      <w:lvlText w:val=""/>
      <w:lvlJc w:val="left"/>
    </w:lvl>
    <w:lvl w:ilvl="7" w:tplc="26CCDEB4">
      <w:numFmt w:val="decimal"/>
      <w:lvlText w:val=""/>
      <w:lvlJc w:val="left"/>
    </w:lvl>
    <w:lvl w:ilvl="8" w:tplc="1A18754C">
      <w:numFmt w:val="decimal"/>
      <w:lvlText w:val=""/>
      <w:lvlJc w:val="left"/>
    </w:lvl>
  </w:abstractNum>
  <w:abstractNum w:abstractNumId="1" w15:restartNumberingAfterBreak="0">
    <w:nsid w:val="1B80418B"/>
    <w:multiLevelType w:val="hybridMultilevel"/>
    <w:tmpl w:val="627EE130"/>
    <w:lvl w:ilvl="0" w:tplc="A6C2E792">
      <w:start w:val="1"/>
      <w:numFmt w:val="decimal"/>
      <w:lvlText w:val="%1."/>
      <w:lvlJc w:val="left"/>
      <w:pPr>
        <w:ind w:left="720" w:hanging="360"/>
      </w:pPr>
    </w:lvl>
    <w:lvl w:ilvl="1" w:tplc="773255C4">
      <w:numFmt w:val="decimal"/>
      <w:lvlText w:val=""/>
      <w:lvlJc w:val="left"/>
    </w:lvl>
    <w:lvl w:ilvl="2" w:tplc="CA3E3C14">
      <w:numFmt w:val="decimal"/>
      <w:lvlText w:val=""/>
      <w:lvlJc w:val="left"/>
    </w:lvl>
    <w:lvl w:ilvl="3" w:tplc="31D66B3C">
      <w:numFmt w:val="decimal"/>
      <w:lvlText w:val=""/>
      <w:lvlJc w:val="left"/>
    </w:lvl>
    <w:lvl w:ilvl="4" w:tplc="36EA1E5E">
      <w:numFmt w:val="decimal"/>
      <w:lvlText w:val=""/>
      <w:lvlJc w:val="left"/>
    </w:lvl>
    <w:lvl w:ilvl="5" w:tplc="8782EC4A">
      <w:numFmt w:val="decimal"/>
      <w:lvlText w:val=""/>
      <w:lvlJc w:val="left"/>
    </w:lvl>
    <w:lvl w:ilvl="6" w:tplc="5F0E3542">
      <w:numFmt w:val="decimal"/>
      <w:lvlText w:val=""/>
      <w:lvlJc w:val="left"/>
    </w:lvl>
    <w:lvl w:ilvl="7" w:tplc="6BDC6460">
      <w:numFmt w:val="decimal"/>
      <w:lvlText w:val=""/>
      <w:lvlJc w:val="left"/>
    </w:lvl>
    <w:lvl w:ilvl="8" w:tplc="40345EAE">
      <w:numFmt w:val="decimal"/>
      <w:lvlText w:val=""/>
      <w:lvlJc w:val="left"/>
    </w:lvl>
  </w:abstractNum>
  <w:abstractNum w:abstractNumId="2" w15:restartNumberingAfterBreak="0">
    <w:nsid w:val="3BBC63B6"/>
    <w:multiLevelType w:val="hybridMultilevel"/>
    <w:tmpl w:val="2D021180"/>
    <w:lvl w:ilvl="0" w:tplc="DC2E5168">
      <w:start w:val="1"/>
      <w:numFmt w:val="bullet"/>
      <w:lvlText w:val="●"/>
      <w:lvlJc w:val="left"/>
      <w:pPr>
        <w:ind w:left="720" w:hanging="360"/>
      </w:pPr>
    </w:lvl>
    <w:lvl w:ilvl="1" w:tplc="52782A6A">
      <w:start w:val="1"/>
      <w:numFmt w:val="bullet"/>
      <w:lvlText w:val="○"/>
      <w:lvlJc w:val="left"/>
      <w:pPr>
        <w:ind w:left="1440" w:hanging="360"/>
      </w:pPr>
    </w:lvl>
    <w:lvl w:ilvl="2" w:tplc="7B62BEC8">
      <w:start w:val="1"/>
      <w:numFmt w:val="bullet"/>
      <w:lvlText w:val="■"/>
      <w:lvlJc w:val="left"/>
      <w:pPr>
        <w:ind w:left="2160" w:hanging="360"/>
      </w:pPr>
    </w:lvl>
    <w:lvl w:ilvl="3" w:tplc="9D8A33CE">
      <w:start w:val="1"/>
      <w:numFmt w:val="bullet"/>
      <w:lvlText w:val="●"/>
      <w:lvlJc w:val="left"/>
      <w:pPr>
        <w:ind w:left="2880" w:hanging="360"/>
      </w:pPr>
    </w:lvl>
    <w:lvl w:ilvl="4" w:tplc="E6D06D4E">
      <w:start w:val="1"/>
      <w:numFmt w:val="bullet"/>
      <w:lvlText w:val="○"/>
      <w:lvlJc w:val="left"/>
      <w:pPr>
        <w:ind w:left="3600" w:hanging="360"/>
      </w:pPr>
    </w:lvl>
    <w:lvl w:ilvl="5" w:tplc="AD42662E">
      <w:start w:val="1"/>
      <w:numFmt w:val="bullet"/>
      <w:lvlText w:val="■"/>
      <w:lvlJc w:val="left"/>
      <w:pPr>
        <w:ind w:left="4320" w:hanging="360"/>
      </w:pPr>
    </w:lvl>
    <w:lvl w:ilvl="6" w:tplc="53DA3C82">
      <w:start w:val="1"/>
      <w:numFmt w:val="bullet"/>
      <w:lvlText w:val="●"/>
      <w:lvlJc w:val="left"/>
      <w:pPr>
        <w:ind w:left="5040" w:hanging="360"/>
      </w:pPr>
    </w:lvl>
    <w:lvl w:ilvl="7" w:tplc="D7DA78F0">
      <w:start w:val="1"/>
      <w:numFmt w:val="bullet"/>
      <w:lvlText w:val="●"/>
      <w:lvlJc w:val="left"/>
      <w:pPr>
        <w:ind w:left="5760" w:hanging="360"/>
      </w:pPr>
    </w:lvl>
    <w:lvl w:ilvl="8" w:tplc="FB14D75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39D2901"/>
    <w:multiLevelType w:val="hybridMultilevel"/>
    <w:tmpl w:val="7B143DF6"/>
    <w:lvl w:ilvl="0" w:tplc="002E37C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967785172">
    <w:abstractNumId w:val="2"/>
    <w:lvlOverride w:ilvl="0">
      <w:startOverride w:val="1"/>
    </w:lvlOverride>
  </w:num>
  <w:num w:numId="2" w16cid:durableId="13119022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42E"/>
    <w:rsid w:val="00010912"/>
    <w:rsid w:val="00053D5C"/>
    <w:rsid w:val="000A4D02"/>
    <w:rsid w:val="0014422E"/>
    <w:rsid w:val="00323B45"/>
    <w:rsid w:val="003440A1"/>
    <w:rsid w:val="00390CEF"/>
    <w:rsid w:val="00426B73"/>
    <w:rsid w:val="006A35B7"/>
    <w:rsid w:val="00751874"/>
    <w:rsid w:val="00AD5217"/>
    <w:rsid w:val="00B964BF"/>
    <w:rsid w:val="00D8642E"/>
    <w:rsid w:val="00D94DC9"/>
    <w:rsid w:val="00E8281C"/>
    <w:rsid w:val="00F34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D83FD1"/>
  <w15:docId w15:val="{488500D1-6EFB-5644-BDE7-31FD26C02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宋体" w:eastAsia="宋体" w:hAnsi="宋体" w:cs="宋体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</w:pPr>
    <w:rPr>
      <w:rFonts w:ascii="Arial Unicode MS" w:eastAsia="Arial Unicode MS" w:hAnsi="Arial Unicode MS" w:cs="Arial Unicode MS" w:hint="eastAsia"/>
      <w:sz w:val="21"/>
      <w:lang w:bidi="en-US"/>
    </w:rPr>
  </w:style>
  <w:style w:type="paragraph" w:styleId="1">
    <w:name w:val="heading 1"/>
    <w:uiPriority w:val="9"/>
    <w:qFormat/>
    <w:pPr>
      <w:spacing w:before="320" w:after="120" w:line="360" w:lineRule="auto"/>
      <w:outlineLvl w:val="0"/>
    </w:pPr>
    <w:rPr>
      <w:rFonts w:ascii="Arial Unicode MS" w:eastAsia="Arial Unicode MS" w:hAnsi="Arial Unicode MS" w:cs="Arial Unicode MS" w:hint="eastAsia"/>
      <w:b/>
      <w:bCs/>
      <w:sz w:val="32"/>
      <w:szCs w:val="32"/>
      <w:lang w:bidi="en-US"/>
    </w:rPr>
  </w:style>
  <w:style w:type="paragraph" w:styleId="2">
    <w:name w:val="heading 2"/>
    <w:uiPriority w:val="9"/>
    <w:unhideWhenUsed/>
    <w:qFormat/>
    <w:pPr>
      <w:spacing w:before="240" w:after="120" w:line="360" w:lineRule="auto"/>
      <w:outlineLvl w:val="1"/>
    </w:pPr>
    <w:rPr>
      <w:rFonts w:ascii="Arial Unicode MS" w:eastAsia="Arial Unicode MS" w:hAnsi="Arial Unicode MS" w:cs="Arial Unicode MS" w:hint="eastAsia"/>
      <w:b/>
      <w:bCs/>
      <w:sz w:val="27"/>
      <w:szCs w:val="28"/>
      <w:lang w:bidi="en-US"/>
    </w:rPr>
  </w:style>
  <w:style w:type="paragraph" w:styleId="3">
    <w:name w:val="heading 3"/>
    <w:uiPriority w:val="9"/>
    <w:semiHidden/>
    <w:unhideWhenUsed/>
    <w:qFormat/>
    <w:pPr>
      <w:spacing w:line="360" w:lineRule="auto"/>
      <w:outlineLvl w:val="2"/>
    </w:pPr>
    <w:rPr>
      <w:rFonts w:ascii="Arial Unicode MS" w:eastAsia="Arial Unicode MS" w:hAnsi="Arial Unicode MS" w:cs="Arial Unicode MS" w:hint="eastAsia"/>
      <w:color w:val="1F4D78"/>
      <w:lang w:bidi="en-US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line="360" w:lineRule="auto"/>
    </w:pPr>
    <w:rPr>
      <w:rFonts w:ascii="Arial Unicode MS" w:eastAsia="Arial Unicode MS" w:hAnsi="Arial Unicode MS" w:cs="Arial Unicode MS" w:hint="eastAsia"/>
      <w:sz w:val="56"/>
      <w:szCs w:val="56"/>
      <w:lang w:bidi="en-US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14422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14422E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14422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14422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2026-09-21T08:45:00Z</dcterms:created>
  <dcterms:modified xsi:type="dcterms:W3CDTF">2026-09-21T08:45:00Z</dcterms:modified>
</cp:coreProperties>
</file>