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80" w:line="276" w:lineRule="auto"/>
        <w:jc w:val="center"/>
      </w:pPr>
      <w:r>
        <w:rPr>
          <w:rFonts w:ascii="STSong" w:hAnsi="STSong" w:eastAsia="STSong" w:cs="STSong"/>
          <w:b/>
          <w:color w:val="000000"/>
          <w:sz w:val="56"/>
        </w:rPr>
        <w:t>LLM 局部重调度方案验证报告</w:t>
      </w:r>
    </w:p>
    <w:p>
      <w:pPr>
        <w:spacing w:after="320" w:line="276" w:lineRule="auto"/>
        <w:jc w:val="center"/>
      </w:pPr>
      <w:r>
        <w:rPr>
          <w:rFonts w:ascii="STSong" w:hAnsi="STSong" w:eastAsia="STSong" w:cs="STSong"/>
          <w:b w:val="0"/>
          <w:color w:val="1F4D78"/>
          <w:sz w:val="24"/>
        </w:rPr>
        <w:t>真实 PLAN/CRANE 数据回放与 Codex 压力场景审计</w:t>
      </w:r>
    </w:p>
    <w:p>
      <w:pPr>
        <w:spacing w:after="100" w:line="276" w:lineRule="auto"/>
        <w:jc w:val="center"/>
      </w:pPr>
      <w:r>
        <w:rPr>
          <w:rFonts w:ascii="STSong" w:hAnsi="STSong" w:eastAsia="STSong" w:cs="STSong"/>
          <w:b w:val="0"/>
          <w:color w:val="000000"/>
          <w:sz w:val="21"/>
        </w:rPr>
        <w:t>日期：</w:t>
      </w:r>
      <w:r>
        <w:rPr>
          <w:rFonts w:ascii="STSong" w:hAnsi="STSong" w:eastAsia="STSong" w:cs="STSong"/>
          <w:b w:val="0"/>
          <w:color w:val="000000"/>
          <w:sz w:val="21"/>
        </w:rPr>
        <w:t>2026-08-25</w:t>
      </w:r>
      <w:r>
        <w:rPr>
          <w:rFonts w:ascii="STSong" w:hAnsi="STSong" w:eastAsia="STSong" w:cs="STSong"/>
          <w:b w:val="0"/>
          <w:color w:val="000000"/>
          <w:sz w:val="21"/>
        </w:rPr>
        <w:t xml:space="preserve">    分支：</w:t>
      </w:r>
      <w:r>
        <w:rPr>
          <w:rFonts w:ascii="STSong" w:hAnsi="STSong" w:eastAsia="STSong" w:cs="STSong"/>
          <w:b w:val="0"/>
          <w:color w:val="000000"/>
          <w:sz w:val="21"/>
        </w:rPr>
        <w:t>feature-1.0</w:t>
      </w:r>
    </w:p>
    <w:p>
      <w:pPr>
        <w:spacing w:after="60"/>
      </w:pPr>
    </w:p>
    <w:p>
      <w:pPr>
        <w:pStyle w:val="1"/>
        <w:keepNext/>
        <w:spacing w:before="280" w:after="100"/>
      </w:pPr>
      <w:r>
        <w:rPr>
          <w:rFonts w:ascii="STSong" w:hAnsi="STSong" w:eastAsia="STSong" w:cs="STSong"/>
          <w:b/>
          <w:color w:val="000000"/>
          <w:sz w:val="32"/>
        </w:rPr>
        <w:t>1. 背景与目标</w:t>
      </w:r>
    </w:p>
    <w:p>
      <w:pPr>
        <w:pStyle w:val="2"/>
        <w:keepNext/>
        <w:spacing w:before="180" w:after="100"/>
      </w:pPr>
      <w:r>
        <w:rPr>
          <w:rFonts w:ascii="STSong" w:hAnsi="STSong" w:eastAsia="STSong" w:cs="STSong"/>
          <w:b/>
          <w:color w:val="000000"/>
          <w:sz w:val="27"/>
        </w:rPr>
        <w:t>1.1 当前系统状态</w:t>
      </w:r>
    </w:p>
    <w:tbl>
      <w:tblPr>
        <w:tblW w:type="dxa" w:w="9500"/>
        <w:jc w:val="center"/>
        <w:tblLayout w:type="fixed"/>
        <w:tblLook w:firstColumn="1" w:firstRow="1" w:lastColumn="0" w:lastRow="0" w:noHBand="0" w:noVBand="1" w:val="04A0"/>
      </w:tblPr>
      <w:tblGrid>
        <w:gridCol w:w="2100"/>
        <w:gridCol w:w="7400"/>
      </w:tblGrid>
      <w:tr>
        <w:trPr>
          <w:tblHeader w:val="true"/>
        </w:trPr>
        <w:tc>
          <w:tcPr>
            <w:tcW w:type="dxa" w:w="21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项目</w:t>
            </w:r>
          </w:p>
        </w:tc>
        <w:tc>
          <w:tcPr>
            <w:tcW w:type="dxa" w:w="74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当前结果</w:t>
            </w:r>
          </w:p>
        </w:tc>
      </w:tr>
      <w:tr>
        <w:tc>
          <w:tcPr>
            <w:tcW w:type="dxa" w:w="21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全量预配包</w:t>
            </w:r>
          </w:p>
        </w:tc>
        <w:tc>
          <w:tcPr>
            <w:tcW w:type="dxa" w:w="7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真实 PLAN(1) 469 行中纳入评测 457 炉；决策树基线 457/457，规则违反 0</w:t>
            </w:r>
          </w:p>
        </w:tc>
      </w:tr>
      <w:tr>
        <w:tc>
          <w:tcPr>
            <w:tcW w:type="dxa" w:w="21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生产响应</w:t>
            </w:r>
          </w:p>
        </w:tc>
        <w:tc>
          <w:tcPr>
            <w:tcW w:type="dxa" w:w="7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滑窗推进；扰动只打开当前时刻附近的局部炉次窗口</w:t>
            </w:r>
          </w:p>
        </w:tc>
      </w:tr>
      <w:tr>
        <w:tc>
          <w:tcPr>
            <w:tcW w:type="dxa" w:w="21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LLM 角色</w:t>
            </w:r>
          </w:p>
        </w:tc>
        <w:tc>
          <w:tcPr>
            <w:tcW w:type="dxa" w:w="7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决策树失败且距最早开浇仍超过 90 s 时介入，输出可审计的替代配包方案</w:t>
            </w:r>
          </w:p>
        </w:tc>
      </w:tr>
    </w:tbl>
    <w:p>
      <w:pPr>
        <w:spacing w:after="20"/>
      </w:pPr>
    </w:p>
    <w:p>
      <w:pPr>
        <w:pStyle w:val="2"/>
        <w:keepNext/>
        <w:spacing w:before="180" w:after="100"/>
      </w:pPr>
      <w:r>
        <w:rPr>
          <w:rFonts w:ascii="STSong" w:hAnsi="STSong" w:eastAsia="STSong" w:cs="STSong"/>
          <w:b/>
          <w:color w:val="000000"/>
          <w:sz w:val="27"/>
        </w:rPr>
        <w:t>1.2 本次验证目标</w:t>
      </w:r>
    </w:p>
    <w:p>
      <w:pPr>
        <w:spacing w:after="100" w:line="276" w:lineRule="auto"/>
      </w:pPr>
      <w:r>
        <w:rPr>
          <w:rFonts w:ascii="STSong" w:hAnsi="STSong" w:eastAsia="STSong" w:cs="STSong"/>
          <w:b w:val="0"/>
          <w:color w:val="000000"/>
          <w:sz w:val="21"/>
        </w:rPr>
        <w:t>验证真实 PLAN/CRANE 快照下，决策树不能完成局部窗口时，Codex 是否能够读取资源和工艺约束，只修改必要炉次，并通过统一校验形成可下发方案。</w:t>
      </w:r>
    </w:p>
    <w:tbl>
      <w:tblPr>
        <w:tblW w:type="dxa" w:w="9500"/>
        <w:jc w:val="center"/>
        <w:tblLayout w:type="fixed"/>
        <w:tblLook w:firstColumn="1" w:firstRow="1" w:lastColumn="0" w:lastRow="0" w:noHBand="0" w:noVBand="1" w:val="04A0"/>
      </w:tblPr>
      <w:tblGrid>
        <w:gridCol w:w="9500"/>
      </w:tblGrid>
      <w:tr>
        <w:tc>
          <w:tcPr>
            <w:tcW w:type="dxa" w:w="9500"/>
            <w:tcMar>
              <w:top w:w="100" w:type="dxa"/>
              <w:start w:w="120" w:type="dxa"/>
              <w:bottom w:w="100" w:type="dxa"/>
              <w:end w:w="120" w:type="dxa"/>
            </w:tcMar>
            <w:vAlign w:val="center"/>
            <w:tcBorders>
              <w:top w:val="single" w:sz="8" w:space="0" w:color="A7C6E2"/>
              <w:left w:val="single" w:sz="8" w:space="0" w:color="A7C6E2"/>
              <w:bottom w:val="single" w:sz="8" w:space="0" w:color="A7C6E2"/>
              <w:right w:val="single" w:sz="8" w:space="0" w:color="A7C6E2"/>
              <w:insideH w:val="single" w:sz="8" w:space="0" w:color="A7C6E2"/>
              <w:insideV w:val="single" w:sz="8" w:space="0" w:color="A7C6E2"/>
            </w:tcBorders>
            <w:shd w:fill="F1F6FB"/>
          </w:tcPr>
          <w:p>
            <w:pPr>
              <w:spacing w:after="100" w:line="276" w:lineRule="auto"/>
            </w:pPr>
            <w:r>
              <w:rPr>
                <w:rFonts w:ascii="STSong" w:hAnsi="STSong" w:eastAsia="STSong" w:cs="STSong"/>
                <w:b w:val="0"/>
                <w:color w:val="000000"/>
                <w:sz w:val="20"/>
              </w:rPr>
              <w:t>核心结论：</w:t>
            </w:r>
            <w:r>
              <w:rPr>
                <w:rFonts w:ascii="STSong" w:hAnsi="STSong" w:eastAsia="STSong" w:cs="STSong"/>
                <w:b w:val="0"/>
                <w:color w:val="000000"/>
                <w:sz w:val="20"/>
              </w:rPr>
              <w:t>31 炉真实窗口中，决策树完成 30/31；Codex 完成 31/31，实际改配 4 炉，27 炉保持原计划。</w:t>
            </w:r>
          </w:p>
        </w:tc>
      </w:tr>
    </w:tbl>
    <w:p>
      <w:pPr>
        <w:spacing w:after="20"/>
      </w:pPr>
    </w:p>
    <w:p>
      <w:pPr>
        <w:pStyle w:val="1"/>
        <w:keepNext/>
        <w:spacing w:before="280" w:after="100"/>
      </w:pPr>
      <w:r>
        <w:rPr>
          <w:rFonts w:ascii="STSong" w:hAnsi="STSong" w:eastAsia="STSong" w:cs="STSong"/>
          <w:b/>
          <w:color w:val="000000"/>
          <w:sz w:val="32"/>
        </w:rPr>
        <w:t>2. 核心方案</w:t>
      </w:r>
    </w:p>
    <w:p>
      <w:pPr>
        <w:pStyle w:val="2"/>
        <w:keepNext/>
        <w:spacing w:before="180" w:after="100"/>
      </w:pPr>
      <w:r>
        <w:rPr>
          <w:rFonts w:ascii="STSong" w:hAnsi="STSong" w:eastAsia="STSong" w:cs="STSong"/>
          <w:b/>
          <w:color w:val="000000"/>
          <w:sz w:val="27"/>
        </w:rPr>
        <w:t>2.1 整体架构</w:t>
      </w:r>
    </w:p>
    <w:tbl>
      <w:tblPr>
        <w:tblW w:type="dxa" w:w="15350"/>
        <w:jc w:val="center"/>
        <w:tblLayout w:type="fixed"/>
        <w:tblLook w:firstColumn="1" w:firstRow="1" w:lastColumn="0" w:lastRow="0" w:noHBand="0" w:noVBand="1" w:val="04A0"/>
      </w:tblPr>
      <w:tblGrid>
        <w:gridCol w:w="2100"/>
        <w:gridCol w:w="550"/>
        <w:gridCol w:w="2100"/>
        <w:gridCol w:w="550"/>
        <w:gridCol w:w="2100"/>
        <w:gridCol w:w="550"/>
        <w:gridCol w:w="2100"/>
        <w:gridCol w:w="550"/>
        <w:gridCol w:w="2100"/>
        <w:gridCol w:w="550"/>
        <w:gridCol w:w="2100"/>
      </w:tblGrid>
      <w:tr>
        <w:tc>
          <w:tcPr>
            <w:tcW w:type="dxa" w:w="21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D9EAF7"/>
          </w:tcPr>
          <w:p>
            <w:pPr>
              <w:spacing w:after="100" w:line="276" w:lineRule="auto"/>
              <w:jc w:val="center"/>
            </w:pPr>
            <w:r>
              <w:rPr>
                <w:rFonts w:ascii="STSong" w:hAnsi="STSong" w:eastAsia="STSong" w:cs="STSong"/>
                <w:b w:val="0"/>
                <w:color w:val="000000"/>
                <w:sz w:val="20"/>
              </w:rPr>
              <w:t>180 min</w:t>
              <w:br/>
              <w:t>预配包</w:t>
            </w:r>
          </w:p>
        </w:tc>
        <w:tc>
          <w:tcPr>
            <w:tcW w:type="dxa" w:w="55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FFFFFF"/>
          </w:tcPr>
          <w:p>
            <w:pPr>
              <w:spacing w:after="100" w:line="276" w:lineRule="auto"/>
              <w:jc w:val="center"/>
            </w:pPr>
            <w:r>
              <w:rPr>
                <w:rFonts w:ascii="STSong" w:hAnsi="STSong" w:eastAsia="STSong" w:cs="STSong"/>
                <w:b w:val="0"/>
                <w:color w:val="000000"/>
                <w:sz w:val="32"/>
              </w:rPr>
              <w:t>→</w:t>
            </w:r>
          </w:p>
        </w:tc>
        <w:tc>
          <w:tcPr>
            <w:tcW w:type="dxa" w:w="21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D9EAF7"/>
          </w:tcPr>
          <w:p>
            <w:pPr>
              <w:spacing w:after="100" w:line="276" w:lineRule="auto"/>
              <w:jc w:val="center"/>
            </w:pPr>
            <w:r>
              <w:rPr>
                <w:rFonts w:ascii="STSong" w:hAnsi="STSong" w:eastAsia="STSong" w:cs="STSong"/>
                <w:b w:val="0"/>
                <w:color w:val="000000"/>
                <w:sz w:val="20"/>
              </w:rPr>
              <w:t>生产滑窗</w:t>
              <w:br/>
              <w:t>已完成锁定</w:t>
            </w:r>
          </w:p>
        </w:tc>
        <w:tc>
          <w:tcPr>
            <w:tcW w:type="dxa" w:w="55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FFFFFF"/>
          </w:tcPr>
          <w:p>
            <w:pPr>
              <w:spacing w:after="100" w:line="276" w:lineRule="auto"/>
              <w:jc w:val="center"/>
            </w:pPr>
            <w:r>
              <w:rPr>
                <w:rFonts w:ascii="STSong" w:hAnsi="STSong" w:eastAsia="STSong" w:cs="STSong"/>
                <w:b w:val="0"/>
                <w:color w:val="000000"/>
                <w:sz w:val="32"/>
              </w:rPr>
              <w:t>→</w:t>
            </w:r>
          </w:p>
        </w:tc>
        <w:tc>
          <w:tcPr>
            <w:tcW w:type="dxa" w:w="21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D9EAF7"/>
          </w:tcPr>
          <w:p>
            <w:pPr>
              <w:spacing w:after="100" w:line="276" w:lineRule="auto"/>
              <w:jc w:val="center"/>
            </w:pPr>
            <w:r>
              <w:rPr>
                <w:rFonts w:ascii="STSong" w:hAnsi="STSong" w:eastAsia="STSong" w:cs="STSong"/>
                <w:b w:val="0"/>
                <w:color w:val="000000"/>
                <w:sz w:val="20"/>
              </w:rPr>
              <w:t>扰动事件</w:t>
              <w:br/>
              <w:t>打开局部窗口</w:t>
            </w:r>
          </w:p>
        </w:tc>
        <w:tc>
          <w:tcPr>
            <w:tcW w:type="dxa" w:w="55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FFFFFF"/>
          </w:tcPr>
          <w:p>
            <w:pPr>
              <w:spacing w:after="100" w:line="276" w:lineRule="auto"/>
              <w:jc w:val="center"/>
            </w:pPr>
            <w:r>
              <w:rPr>
                <w:rFonts w:ascii="STSong" w:hAnsi="STSong" w:eastAsia="STSong" w:cs="STSong"/>
                <w:b w:val="0"/>
                <w:color w:val="000000"/>
                <w:sz w:val="32"/>
              </w:rPr>
              <w:t>→</w:t>
            </w:r>
          </w:p>
        </w:tc>
        <w:tc>
          <w:tcPr>
            <w:tcW w:type="dxa" w:w="21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D9EAF7"/>
          </w:tcPr>
          <w:p>
            <w:pPr>
              <w:spacing w:after="100" w:line="276" w:lineRule="auto"/>
              <w:jc w:val="center"/>
            </w:pPr>
            <w:r>
              <w:rPr>
                <w:rFonts w:ascii="STSong" w:hAnsi="STSong" w:eastAsia="STSong" w:cs="STSong"/>
                <w:b w:val="0"/>
                <w:color w:val="000000"/>
                <w:sz w:val="20"/>
              </w:rPr>
              <w:t>决策树</w:t>
              <w:br/>
              <w:t>先行</w:t>
            </w:r>
          </w:p>
        </w:tc>
        <w:tc>
          <w:tcPr>
            <w:tcW w:type="dxa" w:w="55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FFFFFF"/>
          </w:tcPr>
          <w:p>
            <w:pPr>
              <w:spacing w:after="100" w:line="276" w:lineRule="auto"/>
              <w:jc w:val="center"/>
            </w:pPr>
            <w:r>
              <w:rPr>
                <w:rFonts w:ascii="STSong" w:hAnsi="STSong" w:eastAsia="STSong" w:cs="STSong"/>
                <w:b w:val="0"/>
                <w:color w:val="000000"/>
                <w:sz w:val="32"/>
              </w:rPr>
              <w:t>→</w:t>
            </w:r>
          </w:p>
        </w:tc>
        <w:tc>
          <w:tcPr>
            <w:tcW w:type="dxa" w:w="21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D9EAF7"/>
          </w:tcPr>
          <w:p>
            <w:pPr>
              <w:spacing w:after="100" w:line="276" w:lineRule="auto"/>
              <w:jc w:val="center"/>
            </w:pPr>
            <w:r>
              <w:rPr>
                <w:rFonts w:ascii="STSong" w:hAnsi="STSong" w:eastAsia="STSong" w:cs="STSong"/>
                <w:b w:val="0"/>
                <w:color w:val="000000"/>
                <w:sz w:val="20"/>
              </w:rPr>
              <w:t>Codex</w:t>
              <w:br/>
              <w:t>兜底</w:t>
            </w:r>
          </w:p>
        </w:tc>
        <w:tc>
          <w:tcPr>
            <w:tcW w:type="dxa" w:w="55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FFFFFF"/>
          </w:tcPr>
          <w:p>
            <w:pPr>
              <w:spacing w:after="100" w:line="276" w:lineRule="auto"/>
              <w:jc w:val="center"/>
            </w:pPr>
            <w:r>
              <w:rPr>
                <w:rFonts w:ascii="STSong" w:hAnsi="STSong" w:eastAsia="STSong" w:cs="STSong"/>
                <w:b w:val="0"/>
                <w:color w:val="000000"/>
                <w:sz w:val="32"/>
              </w:rPr>
              <w:t>→</w:t>
            </w:r>
          </w:p>
        </w:tc>
        <w:tc>
          <w:tcPr>
            <w:tcW w:type="dxa" w:w="21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D9EAF7"/>
          </w:tcPr>
          <w:p>
            <w:pPr>
              <w:spacing w:after="100" w:line="276" w:lineRule="auto"/>
              <w:jc w:val="center"/>
            </w:pPr>
            <w:r>
              <w:rPr>
                <w:rFonts w:ascii="STSong" w:hAnsi="STSong" w:eastAsia="STSong" w:cs="STSong"/>
                <w:b w:val="0"/>
                <w:color w:val="000000"/>
                <w:sz w:val="20"/>
              </w:rPr>
              <w:t>校验</w:t>
              <w:br/>
              <w:t>下发</w:t>
            </w:r>
          </w:p>
        </w:tc>
      </w:tr>
    </w:tbl>
    <w:p>
      <w:pPr>
        <w:spacing w:after="20"/>
      </w:pPr>
    </w:p>
    <w:p>
      <w:pPr>
        <w:spacing w:after="100" w:line="276" w:lineRule="auto"/>
      </w:pPr>
      <w:r>
        <w:rPr>
          <w:rFonts w:ascii="STSong" w:hAnsi="STSong" w:eastAsia="STSong" w:cs="STSong"/>
          <w:b w:val="0"/>
          <w:color w:val="000000"/>
          <w:sz w:val="21"/>
        </w:rPr>
        <w:t>预配包在生产启动前生成；生产推进后，已完成的炉次保持锁定，远期炉次不被本次事故牵连。发生扰动时，仅对当前时刻附近、尚未锁定且可能受影响的炉次做局部重排。</w:t>
      </w:r>
    </w:p>
    <w:p>
      <w:pPr>
        <w:pStyle w:val="2"/>
        <w:keepNext/>
        <w:spacing w:before="180" w:after="100"/>
      </w:pPr>
      <w:r>
        <w:rPr>
          <w:rFonts w:ascii="STSong" w:hAnsi="STSong" w:eastAsia="STSong" w:cs="STSong"/>
          <w:b/>
          <w:color w:val="000000"/>
          <w:sz w:val="27"/>
        </w:rPr>
        <w:t>2.2 分级响应流程</w:t>
      </w:r>
    </w:p>
    <w:tbl>
      <w:tblPr>
        <w:tblW w:type="dxa" w:w="9500"/>
        <w:jc w:val="center"/>
        <w:tblLayout w:type="fixed"/>
        <w:tblLook w:firstColumn="1" w:firstRow="1" w:lastColumn="0" w:lastRow="0" w:noHBand="0" w:noVBand="1" w:val="04A0"/>
      </w:tblPr>
      <w:tblGrid>
        <w:gridCol w:w="2400"/>
        <w:gridCol w:w="5000"/>
        <w:gridCol w:w="2100"/>
      </w:tblGrid>
      <w:tr>
        <w:trPr>
          <w:tblHeader w:val="true"/>
        </w:trPr>
        <w:tc>
          <w:tcPr>
            <w:tcW w:type="dxa" w:w="24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条件</w:t>
            </w:r>
          </w:p>
        </w:tc>
        <w:tc>
          <w:tcPr>
            <w:tcW w:type="dxa" w:w="50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处理路径</w:t>
            </w:r>
          </w:p>
        </w:tc>
        <w:tc>
          <w:tcPr>
            <w:tcW w:type="dxa" w:w="21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本次场景</w:t>
            </w:r>
          </w:p>
        </w:tc>
      </w:tr>
      <w:tr>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最早开浇前 ≤ 90 s</w:t>
            </w:r>
          </w:p>
        </w:tc>
        <w:tc>
          <w:tcPr>
            <w:tcW w:type="dxa" w:w="50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决策树快速重排；若仍失败，冻结原方案并呼叫人工</w:t>
            </w:r>
          </w:p>
        </w:tc>
        <w:tc>
          <w:tcPr>
            <w:tcW w:type="dxa" w:w="21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不进入 Codex</w:t>
            </w:r>
          </w:p>
        </w:tc>
      </w:tr>
      <w:tr>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最早开浇前 &gt; 90 s</w:t>
            </w:r>
          </w:p>
        </w:tc>
        <w:tc>
          <w:tcPr>
            <w:tcW w:type="dxa" w:w="50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决策树先行；失败后 Codex 生成候选，校验通过再下发</w:t>
            </w:r>
          </w:p>
        </w:tc>
        <w:tc>
          <w:tcPr>
            <w:tcW w:type="dxa" w:w="21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进入 Codex</w:t>
            </w:r>
          </w:p>
        </w:tc>
      </w:tr>
    </w:tbl>
    <w:p>
      <w:pPr>
        <w:spacing w:after="20"/>
      </w:pPr>
    </w:p>
    <w:tbl>
      <w:tblPr>
        <w:tblW w:type="dxa" w:w="9500"/>
        <w:jc w:val="center"/>
        <w:tblLayout w:type="fixed"/>
        <w:tblLook w:firstColumn="1" w:firstRow="1" w:lastColumn="0" w:lastRow="0" w:noHBand="0" w:noVBand="1" w:val="04A0"/>
      </w:tblPr>
      <w:tblGrid>
        <w:gridCol w:w="9500"/>
      </w:tblGrid>
      <w:tr>
        <w:tc>
          <w:tcPr>
            <w:tcW w:type="dxa" w:w="9500"/>
            <w:tcMar>
              <w:top w:w="100" w:type="dxa"/>
              <w:start w:w="120" w:type="dxa"/>
              <w:bottom w:w="100" w:type="dxa"/>
              <w:end w:w="120" w:type="dxa"/>
            </w:tcMar>
            <w:vAlign w:val="center"/>
            <w:tcBorders>
              <w:top w:val="single" w:sz="8" w:space="0" w:color="A7C6E2"/>
              <w:left w:val="single" w:sz="8" w:space="0" w:color="A7C6E2"/>
              <w:bottom w:val="single" w:sz="8" w:space="0" w:color="A7C6E2"/>
              <w:right w:val="single" w:sz="8" w:space="0" w:color="A7C6E2"/>
              <w:insideH w:val="single" w:sz="8" w:space="0" w:color="A7C6E2"/>
              <w:insideV w:val="single" w:sz="8" w:space="0" w:color="A7C6E2"/>
            </w:tcBorders>
            <w:shd w:fill="EAF3FA"/>
          </w:tcPr>
          <w:p>
            <w:pPr>
              <w:spacing w:after="100" w:line="276" w:lineRule="auto"/>
            </w:pPr>
            <w:r>
              <w:rPr>
                <w:rFonts w:ascii="STSong" w:hAnsi="STSong" w:eastAsia="STSong" w:cs="STSong"/>
                <w:b w:val="0"/>
                <w:color w:val="000000"/>
                <w:sz w:val="20"/>
              </w:rPr>
              <w:t>时间口径：</w:t>
            </w:r>
            <w:r>
              <w:rPr>
                <w:rFonts w:ascii="STSong" w:hAnsi="STSong" w:eastAsia="STSong" w:cs="STSong"/>
                <w:b w:val="0"/>
                <w:color w:val="000000"/>
                <w:sz w:val="20"/>
              </w:rPr>
              <w:t>本次事件发生在 11:00；窗口最早开浇前 313.1 s，扣除 90 s 安全阈值后剩余 223.1 s，因此属于允许 Codex 介入的非紧急路径。</w:t>
            </w:r>
          </w:p>
        </w:tc>
      </w:tr>
    </w:tbl>
    <w:p>
      <w:pPr>
        <w:spacing w:after="20"/>
      </w:pPr>
    </w:p>
    <w:p>
      <w:pPr>
        <w:pStyle w:val="2"/>
        <w:keepNext/>
        <w:spacing w:before="180" w:after="100"/>
      </w:pPr>
      <w:r>
        <w:rPr>
          <w:rFonts w:ascii="STSong" w:hAnsi="STSong" w:eastAsia="STSong" w:cs="STSong"/>
          <w:b/>
          <w:color w:val="000000"/>
          <w:sz w:val="27"/>
        </w:rPr>
        <w:t>2.3 本次实现内容</w:t>
      </w:r>
    </w:p>
    <w:p>
      <w:pPr>
        <w:pStyle w:val="a4"/>
        <w:numPr>
          <w:ilvl w:val="0"/>
          <w:numId w:val="1"/>
        </w:numPr>
        <w:spacing w:after="100" w:line="276" w:lineRule="auto"/>
      </w:pPr>
      <w:r>
        <w:rPr>
          <w:rFonts w:ascii="STSong" w:hAnsi="STSong" w:eastAsia="STSong" w:cs="STSong"/>
          <w:b w:val="0"/>
          <w:color w:val="000000"/>
          <w:sz w:val="21"/>
        </w:rPr>
        <w:t>真实数据全量基线：PLAN 469 行、纳入 457 炉；使用真实 34 个钢包和 10 台行车。</w:t>
      </w:r>
    </w:p>
    <w:p>
      <w:pPr>
        <w:pStyle w:val="a4"/>
        <w:numPr>
          <w:ilvl w:val="0"/>
          <w:numId w:val="1"/>
        </w:numPr>
        <w:spacing w:after="100" w:line="276" w:lineRule="auto"/>
      </w:pPr>
      <w:r>
        <w:rPr>
          <w:rFonts w:ascii="STSong" w:hAnsi="STSong" w:eastAsia="STSong" w:cs="STSong"/>
          <w:b w:val="0"/>
          <w:color w:val="000000"/>
          <w:sz w:val="21"/>
        </w:rPr>
        <w:t>局部压力回放：以 11:00–11:20 的 31 炉为窗口，注入行车 2500 受控离线。</w:t>
      </w:r>
    </w:p>
    <w:p>
      <w:pPr>
        <w:pStyle w:val="a4"/>
        <w:numPr>
          <w:ilvl w:val="0"/>
          <w:numId w:val="1"/>
        </w:numPr>
        <w:spacing w:after="100" w:line="276" w:lineRule="auto"/>
      </w:pPr>
      <w:r>
        <w:rPr>
          <w:rFonts w:ascii="STSong" w:hAnsi="STSong" w:eastAsia="STSong" w:cs="STSong"/>
          <w:b w:val="0"/>
          <w:color w:val="000000"/>
          <w:sz w:val="21"/>
        </w:rPr>
        <w:t>失败兜底：决策树出现未分配炉次后，Codex 读取全窗口输入，优先保留原计划，只替换不可用行车。</w:t>
      </w:r>
    </w:p>
    <w:p>
      <w:pPr>
        <w:pStyle w:val="a4"/>
        <w:numPr>
          <w:ilvl w:val="0"/>
          <w:numId w:val="1"/>
        </w:numPr>
        <w:spacing w:after="100" w:line="276" w:lineRule="auto"/>
      </w:pPr>
      <w:r>
        <w:rPr>
          <w:rFonts w:ascii="STSong" w:hAnsi="STSong" w:eastAsia="STSong" w:cs="STSong"/>
          <w:b w:val="0"/>
          <w:color w:val="000000"/>
          <w:sz w:val="21"/>
        </w:rPr>
        <w:t>安全校验：检查完整分配、共享硬约束和场景策略，全部通过才允许形成最终方案。</w:t>
      </w:r>
    </w:p>
    <w:p>
      <w:pPr>
        <w:pStyle w:val="1"/>
        <w:keepNext/>
        <w:spacing w:before="280" w:after="100"/>
      </w:pPr>
      <w:r>
        <w:rPr>
          <w:rFonts w:ascii="STSong" w:hAnsi="STSong" w:eastAsia="STSong" w:cs="STSong"/>
          <w:b/>
          <w:color w:val="000000"/>
          <w:sz w:val="32"/>
        </w:rPr>
        <w:t>3. 真实数据验证与结果</w:t>
      </w:r>
    </w:p>
    <w:p>
      <w:pPr>
        <w:pStyle w:val="2"/>
        <w:keepNext/>
        <w:spacing w:before="180" w:after="100"/>
      </w:pPr>
      <w:r>
        <w:rPr>
          <w:rFonts w:ascii="STSong" w:hAnsi="STSong" w:eastAsia="STSong" w:cs="STSong"/>
          <w:b/>
          <w:color w:val="000000"/>
          <w:sz w:val="27"/>
        </w:rPr>
        <w:t>3.1 数据来源与实验口径</w:t>
      </w:r>
    </w:p>
    <w:tbl>
      <w:tblPr>
        <w:tblW w:type="dxa" w:w="9500"/>
        <w:jc w:val="center"/>
        <w:tblLayout w:type="fixed"/>
        <w:tblLook w:firstColumn="1" w:firstRow="1" w:lastColumn="0" w:lastRow="0" w:noHBand="0" w:noVBand="1" w:val="04A0"/>
      </w:tblPr>
      <w:tblGrid>
        <w:gridCol w:w="2600"/>
        <w:gridCol w:w="6900"/>
      </w:tblGrid>
      <w:tr>
        <w:trPr>
          <w:tblHeader w:val="true"/>
        </w:trPr>
        <w:tc>
          <w:tcPr>
            <w:tcW w:type="dxa" w:w="26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项目</w:t>
            </w:r>
          </w:p>
        </w:tc>
        <w:tc>
          <w:tcPr>
            <w:tcW w:type="dxa" w:w="69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结果</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PLAN 总行数</w:t>
            </w:r>
          </w:p>
        </w:tc>
        <w:tc>
          <w:tcPr>
            <w:tcW w:type="dxa" w:w="6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469</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纳入评测</w:t>
            </w:r>
          </w:p>
        </w:tc>
        <w:tc>
          <w:tcPr>
            <w:tcW w:type="dxa" w:w="6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457 炉</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真实资源</w:t>
            </w:r>
          </w:p>
        </w:tc>
        <w:tc>
          <w:tcPr>
            <w:tcW w:type="dxa" w:w="6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34 个钢包；10 台行车：1170、1500、1520、2170、2500、2520、3170、3500、3520、4170</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全量基线</w:t>
            </w:r>
          </w:p>
        </w:tc>
        <w:tc>
          <w:tcPr>
            <w:tcW w:type="dxa" w:w="6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决策树 457/457（100.0%）；规则违反 0；等级匹配率 82.06%</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局部窗口</w:t>
            </w:r>
          </w:p>
        </w:tc>
        <w:tc>
          <w:tcPr>
            <w:tcW w:type="dxa" w:w="6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11:00–11:20，共 31 炉</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受控输入</w:t>
            </w:r>
          </w:p>
        </w:tc>
        <w:tc>
          <w:tcPr>
            <w:tcW w:type="dxa" w:w="6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行车 2500 离线；压力权重和路由校验为实验设置</w:t>
            </w:r>
          </w:p>
        </w:tc>
      </w:tr>
    </w:tbl>
    <w:p>
      <w:pPr>
        <w:spacing w:after="20"/>
      </w:pPr>
    </w:p>
    <w:tbl>
      <w:tblPr>
        <w:tblW w:type="dxa" w:w="9500"/>
        <w:jc w:val="center"/>
        <w:tblLayout w:type="fixed"/>
        <w:tblLook w:firstColumn="1" w:firstRow="1" w:lastColumn="0" w:lastRow="0" w:noHBand="0" w:noVBand="1" w:val="04A0"/>
      </w:tblPr>
      <w:tblGrid>
        <w:gridCol w:w="9500"/>
      </w:tblGrid>
      <w:tr>
        <w:tc>
          <w:tcPr>
            <w:tcW w:type="dxa" w:w="9500"/>
            <w:tcMar>
              <w:top w:w="100" w:type="dxa"/>
              <w:start w:w="120" w:type="dxa"/>
              <w:bottom w:w="100" w:type="dxa"/>
              <w:end w:w="120" w:type="dxa"/>
            </w:tcMar>
            <w:vAlign w:val="center"/>
            <w:tcBorders>
              <w:top w:val="single" w:sz="8" w:space="0" w:color="A7C6E2"/>
              <w:left w:val="single" w:sz="8" w:space="0" w:color="A7C6E2"/>
              <w:bottom w:val="single" w:sz="8" w:space="0" w:color="A7C6E2"/>
              <w:right w:val="single" w:sz="8" w:space="0" w:color="A7C6E2"/>
              <w:insideH w:val="single" w:sz="8" w:space="0" w:color="A7C6E2"/>
              <w:insideV w:val="single" w:sz="8" w:space="0" w:color="A7C6E2"/>
            </w:tcBorders>
            <w:shd w:fill="FFF4E5"/>
          </w:tcPr>
          <w:p>
            <w:pPr>
              <w:spacing w:after="100" w:line="276" w:lineRule="auto"/>
            </w:pPr>
            <w:r>
              <w:rPr>
                <w:rFonts w:ascii="STSong" w:hAnsi="STSong" w:eastAsia="STSong" w:cs="STSong"/>
                <w:b w:val="0"/>
                <w:color w:val="000000"/>
                <w:sz w:val="20"/>
              </w:rPr>
              <w:t>证据边界：</w:t>
            </w:r>
            <w:r>
              <w:rPr>
                <w:rFonts w:ascii="STSong" w:hAnsi="STSong" w:eastAsia="STSong" w:cs="STSong"/>
                <w:b w:val="0"/>
                <w:color w:val="000000"/>
                <w:sz w:val="20"/>
              </w:rPr>
              <w:t>炉次、钢包、行车编号、时间、路线等字段来自真实文件；“2500 离线”是为了复现决策树失败路径的受控压力条件，不是生产事故记录。</w:t>
            </w:r>
          </w:p>
        </w:tc>
      </w:tr>
    </w:tbl>
    <w:p>
      <w:pPr>
        <w:spacing w:after="20"/>
      </w:pPr>
    </w:p>
    <w:p>
      <w:pPr>
        <w:pStyle w:val="2"/>
        <w:keepNext/>
        <w:spacing w:before="180" w:after="100"/>
      </w:pPr>
      <w:r>
        <w:rPr>
          <w:rFonts w:ascii="STSong" w:hAnsi="STSong" w:eastAsia="STSong" w:cs="STSong"/>
          <w:b/>
          <w:color w:val="000000"/>
          <w:sz w:val="27"/>
        </w:rPr>
        <w:t>3.2 11:00–11:20 局部窗口</w:t>
      </w:r>
    </w:p>
    <w:p>
      <w:pPr>
        <w:spacing w:after="100" w:line="276" w:lineRule="auto"/>
      </w:pPr>
      <w:r>
        <w:rPr>
          <w:rFonts w:ascii="STSong" w:hAnsi="STSong" w:eastAsia="STSong" w:cs="STSong"/>
          <w:b w:val="0"/>
          <w:color w:val="000000"/>
          <w:sz w:val="21"/>
        </w:rPr>
        <w:t>扰动发生后，系统没有重排全部 457 炉，而是截取 11:00–11:20 的 31 炉。已完成生产的炉次和远期炉次不在本次重排范围内，窗口内的 27 炉继续使用原计划。</w:t>
      </w:r>
    </w:p>
    <w:tbl>
      <w:tblPr>
        <w:tblW w:type="dxa" w:w="9500"/>
        <w:jc w:val="center"/>
        <w:tblLayout w:type="fixed"/>
        <w:tblLook w:firstColumn="1" w:firstRow="1" w:lastColumn="0" w:lastRow="0" w:noHBand="0" w:noVBand="1" w:val="04A0"/>
      </w:tblPr>
      <w:tblGrid>
        <w:gridCol w:w="2600"/>
        <w:gridCol w:w="1700"/>
        <w:gridCol w:w="5200"/>
      </w:tblGrid>
      <w:tr>
        <w:trPr>
          <w:tblHeader w:val="true"/>
        </w:trPr>
        <w:tc>
          <w:tcPr>
            <w:tcW w:type="dxa" w:w="26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阶段</w:t>
            </w:r>
          </w:p>
        </w:tc>
        <w:tc>
          <w:tcPr>
            <w:tcW w:type="dxa" w:w="17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完成数</w:t>
            </w:r>
          </w:p>
        </w:tc>
        <w:tc>
          <w:tcPr>
            <w:tcW w:type="dxa" w:w="52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状态</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扰动前基线</w:t>
            </w:r>
          </w:p>
        </w:tc>
        <w:tc>
          <w:tcPr>
            <w:tcW w:type="dxa" w:w="1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31/31</w:t>
            </w:r>
          </w:p>
        </w:tc>
        <w:tc>
          <w:tcPr>
            <w:tcW w:type="dxa" w:w="52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31 炉均有原计划</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决策树重排</w:t>
            </w:r>
          </w:p>
        </w:tc>
        <w:tc>
          <w:tcPr>
            <w:tcW w:type="dxa" w:w="1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30/31</w:t>
            </w:r>
          </w:p>
        </w:tc>
        <w:tc>
          <w:tcPr>
            <w:tcW w:type="dxa" w:w="52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1 炉因 missing_refining_route 未分配，路径失败</w:t>
            </w:r>
          </w:p>
        </w:tc>
      </w:tr>
      <w:tr>
        <w:tc>
          <w:tcPr>
            <w:tcW w:type="dxa" w:w="26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Codex 重排</w:t>
            </w:r>
          </w:p>
        </w:tc>
        <w:tc>
          <w:tcPr>
            <w:tcW w:type="dxa" w:w="1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31/31</w:t>
            </w:r>
          </w:p>
        </w:tc>
        <w:tc>
          <w:tcPr>
            <w:tcW w:type="dxa" w:w="52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4 炉换行车，27 炉保持原计划</w:t>
            </w:r>
          </w:p>
        </w:tc>
      </w:tr>
    </w:tbl>
    <w:p>
      <w:pPr>
        <w:spacing w:after="20"/>
      </w:pPr>
    </w:p>
    <w:p>
      <w:pPr>
        <w:pStyle w:val="2"/>
        <w:keepNext/>
        <w:spacing w:before="180" w:after="100"/>
      </w:pPr>
      <w:r>
        <w:rPr>
          <w:rFonts w:ascii="STSong" w:hAnsi="STSong" w:eastAsia="STSong" w:cs="STSong"/>
          <w:b/>
          <w:color w:val="000000"/>
          <w:sz w:val="27"/>
        </w:rPr>
        <w:t>3.3 决策树与 Codex 对比</w:t>
      </w:r>
    </w:p>
    <w:tbl>
      <w:tblPr>
        <w:tblW w:type="dxa" w:w="9500"/>
        <w:jc w:val="center"/>
        <w:tblLayout w:type="fixed"/>
        <w:tblLook w:firstColumn="1" w:firstRow="1" w:lastColumn="0" w:lastRow="0" w:noHBand="0" w:noVBand="1" w:val="04A0"/>
      </w:tblPr>
      <w:tblGrid>
        <w:gridCol w:w="2500"/>
        <w:gridCol w:w="2300"/>
        <w:gridCol w:w="2300"/>
        <w:gridCol w:w="2400"/>
      </w:tblGrid>
      <w:tr>
        <w:trPr>
          <w:tblHeader w:val="true"/>
        </w:trPr>
        <w:tc>
          <w:tcPr>
            <w:tcW w:type="dxa" w:w="25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指标</w:t>
            </w:r>
          </w:p>
        </w:tc>
        <w:tc>
          <w:tcPr>
            <w:tcW w:type="dxa" w:w="23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Frozen 不重排</w:t>
            </w:r>
          </w:p>
        </w:tc>
        <w:tc>
          <w:tcPr>
            <w:tcW w:type="dxa" w:w="23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决策树</w:t>
            </w:r>
          </w:p>
        </w:tc>
        <w:tc>
          <w:tcPr>
            <w:tcW w:type="dxa" w:w="24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Codex</w:t>
            </w:r>
          </w:p>
        </w:tc>
      </w:tr>
      <w:tr>
        <w:tc>
          <w:tcPr>
            <w:tcW w:type="dxa" w:w="25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完成分配</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0/31</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30/31</w:t>
            </w:r>
          </w:p>
        </w:tc>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31/31</w:t>
            </w:r>
          </w:p>
        </w:tc>
      </w:tr>
      <w:tr>
        <w:tc>
          <w:tcPr>
            <w:tcW w:type="dxa" w:w="25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按时率</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0.00%</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96.77%</w:t>
            </w:r>
          </w:p>
        </w:tc>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100.00%</w:t>
            </w:r>
          </w:p>
        </w:tc>
      </w:tr>
      <w:tr>
        <w:tc>
          <w:tcPr>
            <w:tcW w:type="dxa" w:w="25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平均延迟</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90,486.7 s</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2,655.6 s</w:t>
            </w:r>
          </w:p>
        </w:tc>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0 s</w:t>
            </w:r>
          </w:p>
        </w:tc>
      </w:tr>
      <w:tr>
        <w:tc>
          <w:tcPr>
            <w:tcW w:type="dxa" w:w="25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规则违反</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0</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1</w:t>
            </w:r>
          </w:p>
        </w:tc>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0</w:t>
            </w:r>
          </w:p>
        </w:tc>
      </w:tr>
      <w:tr>
        <w:tc>
          <w:tcPr>
            <w:tcW w:type="dxa" w:w="25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实际改配炉次</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31</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30</w:t>
            </w:r>
          </w:p>
        </w:tc>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4</w:t>
            </w:r>
          </w:p>
        </w:tc>
      </w:tr>
      <w:tr>
        <w:tc>
          <w:tcPr>
            <w:tcW w:type="dxa" w:w="25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人工复核率</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3.23%</w:t>
            </w:r>
          </w:p>
        </w:tc>
        <w:tc>
          <w:tcPr>
            <w:tcW w:type="dxa" w:w="2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0%</w:t>
            </w:r>
          </w:p>
        </w:tc>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0%</w:t>
            </w:r>
          </w:p>
        </w:tc>
      </w:tr>
    </w:tbl>
    <w:p>
      <w:pPr>
        <w:spacing w:after="20"/>
      </w:pPr>
    </w:p>
    <w:tbl>
      <w:tblPr>
        <w:tblW w:type="dxa" w:w="9500"/>
        <w:jc w:val="center"/>
        <w:tblLayout w:type="fixed"/>
        <w:tblLook w:firstColumn="1" w:firstRow="1" w:lastColumn="0" w:lastRow="0" w:noHBand="0" w:noVBand="1" w:val="04A0"/>
      </w:tblPr>
      <w:tblGrid>
        <w:gridCol w:w="9500"/>
      </w:tblGrid>
      <w:tr>
        <w:tc>
          <w:tcPr>
            <w:tcW w:type="dxa" w:w="9500"/>
            <w:tcMar>
              <w:top w:w="100" w:type="dxa"/>
              <w:start w:w="120" w:type="dxa"/>
              <w:bottom w:w="100" w:type="dxa"/>
              <w:end w:w="120" w:type="dxa"/>
            </w:tcMar>
            <w:vAlign w:val="center"/>
            <w:tcBorders>
              <w:top w:val="single" w:sz="8" w:space="0" w:color="A7C6E2"/>
              <w:left w:val="single" w:sz="8" w:space="0" w:color="A7C6E2"/>
              <w:bottom w:val="single" w:sz="8" w:space="0" w:color="A7C6E2"/>
              <w:right w:val="single" w:sz="8" w:space="0" w:color="A7C6E2"/>
              <w:insideH w:val="single" w:sz="8" w:space="0" w:color="A7C6E2"/>
              <w:insideV w:val="single" w:sz="8" w:space="0" w:color="A7C6E2"/>
            </w:tcBorders>
            <w:shd w:fill="EAF3FA"/>
          </w:tcPr>
          <w:p>
            <w:pPr>
              <w:spacing w:after="100" w:line="276" w:lineRule="auto"/>
            </w:pPr>
            <w:r>
              <w:rPr>
                <w:rFonts w:ascii="STSong" w:hAnsi="STSong" w:eastAsia="STSong" w:cs="STSong"/>
                <w:b w:val="0"/>
                <w:color w:val="000000"/>
                <w:sz w:val="20"/>
              </w:rPr>
              <w:t>比较结论：</w:t>
            </w:r>
            <w:r>
              <w:rPr>
                <w:rFonts w:ascii="STSong" w:hAnsi="STSong" w:eastAsia="STSong" w:cs="STSong"/>
                <w:b w:val="0"/>
                <w:color w:val="000000"/>
                <w:sz w:val="20"/>
              </w:rPr>
              <w:t>Codex 相比决策树多完成 1 炉，同时只修改 4 炉；相比 Frozen 不重排，31 炉全部恢复到按时分配。Frozen 仅作对照，不等同于现场人工方案。</w:t>
            </w:r>
          </w:p>
        </w:tc>
      </w:tr>
    </w:tbl>
    <w:p>
      <w:pPr>
        <w:spacing w:after="20"/>
      </w:pPr>
    </w:p>
    <w:p>
      <w:pPr>
        <w:pStyle w:val="2"/>
        <w:keepNext/>
        <w:spacing w:before="180" w:after="100"/>
      </w:pPr>
      <w:r>
        <w:rPr>
          <w:rFonts w:ascii="STSong" w:hAnsi="STSong" w:eastAsia="STSong" w:cs="STSong"/>
          <w:b/>
          <w:color w:val="000000"/>
          <w:sz w:val="27"/>
        </w:rPr>
        <w:t>3.4 Codex 实际改配明细</w:t>
      </w:r>
    </w:p>
    <w:tbl>
      <w:tblPr>
        <w:tblW w:type="dxa" w:w="9500"/>
        <w:jc w:val="center"/>
        <w:tblLayout w:type="fixed"/>
        <w:tblLook w:firstColumn="1" w:firstRow="1" w:lastColumn="0" w:lastRow="0" w:noHBand="0" w:noVBand="1" w:val="04A0"/>
      </w:tblPr>
      <w:tblGrid>
        <w:gridCol w:w="3900"/>
        <w:gridCol w:w="1300"/>
        <w:gridCol w:w="1300"/>
        <w:gridCol w:w="1300"/>
        <w:gridCol w:w="1700"/>
      </w:tblGrid>
      <w:tr>
        <w:trPr>
          <w:tblHeader w:val="true"/>
        </w:trPr>
        <w:tc>
          <w:tcPr>
            <w:tcW w:type="dxa" w:w="39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炉次</w:t>
            </w:r>
          </w:p>
        </w:tc>
        <w:tc>
          <w:tcPr>
            <w:tcW w:type="dxa" w:w="13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原钢包</w:t>
            </w:r>
          </w:p>
        </w:tc>
        <w:tc>
          <w:tcPr>
            <w:tcW w:type="dxa" w:w="13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原行车</w:t>
            </w:r>
          </w:p>
        </w:tc>
        <w:tc>
          <w:tcPr>
            <w:tcW w:type="dxa" w:w="13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新钢包</w:t>
            </w:r>
          </w:p>
        </w:tc>
        <w:tc>
          <w:tcPr>
            <w:tcW w:type="dxa" w:w="17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新行车</w:t>
            </w:r>
          </w:p>
        </w:tc>
      </w:tr>
      <w:tr>
        <w:tc>
          <w:tcPr>
            <w:tcW w:type="dxa" w:w="3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JU6310E7-300755</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ST51</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2500</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ST51</w:t>
            </w:r>
          </w:p>
        </w:tc>
        <w:tc>
          <w:tcPr>
            <w:tcW w:type="dxa" w:w="1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2170</w:t>
            </w:r>
          </w:p>
        </w:tc>
      </w:tr>
      <w:tr>
        <w:tc>
          <w:tcPr>
            <w:tcW w:type="dxa" w:w="3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JU6310E7-300762</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ST51</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2500</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ST51</w:t>
            </w:r>
          </w:p>
        </w:tc>
        <w:tc>
          <w:tcPr>
            <w:tcW w:type="dxa" w:w="1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2170</w:t>
            </w:r>
          </w:p>
        </w:tc>
      </w:tr>
      <w:tr>
        <w:tc>
          <w:tcPr>
            <w:tcW w:type="dxa" w:w="3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AP0961E3-300774</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ST51</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2500</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ST51</w:t>
            </w:r>
          </w:p>
        </w:tc>
        <w:tc>
          <w:tcPr>
            <w:tcW w:type="dxa" w:w="1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1170</w:t>
            </w:r>
          </w:p>
        </w:tc>
      </w:tr>
      <w:tr>
        <w:tc>
          <w:tcPr>
            <w:tcW w:type="dxa" w:w="3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AR4143E5-300781</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ST51</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2500</w:t>
            </w:r>
          </w:p>
        </w:tc>
        <w:tc>
          <w:tcPr>
            <w:tcW w:type="dxa" w:w="13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ST51</w:t>
            </w:r>
          </w:p>
        </w:tc>
        <w:tc>
          <w:tcPr>
            <w:tcW w:type="dxa" w:w="1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left"/>
            </w:pPr>
            <w:r>
              <w:rPr>
                <w:rFonts w:ascii="STSong" w:hAnsi="STSong" w:eastAsia="STSong" w:cs="STSong"/>
                <w:b w:val="0"/>
                <w:color w:val="000000"/>
                <w:sz w:val="19"/>
              </w:rPr>
              <w:t>1170</w:t>
            </w:r>
          </w:p>
        </w:tc>
      </w:tr>
    </w:tbl>
    <w:p>
      <w:pPr>
        <w:spacing w:after="20"/>
      </w:pPr>
    </w:p>
    <w:p>
      <w:pPr>
        <w:spacing w:after="100" w:line="276" w:lineRule="auto"/>
      </w:pPr>
      <w:r>
        <w:rPr>
          <w:rFonts w:ascii="STSong" w:hAnsi="STSong" w:eastAsia="STSong" w:cs="STSong"/>
          <w:b w:val="0"/>
          <w:color w:val="000000"/>
          <w:sz w:val="21"/>
        </w:rPr>
        <w:t>4 个改配炉次均为 ST51 -&gt; ST51，实际变化集中在行车替换：2500 -&gt; 2170（2 炉），2500 -&gt; 1170（2 炉）。Codex 输出的其余 27 炉带有“原计划资源仍可用，保持不变”的审计原因。</w:t>
      </w:r>
    </w:p>
    <w:p>
      <w:pPr>
        <w:pStyle w:val="2"/>
        <w:keepNext/>
        <w:spacing w:before="180" w:after="100"/>
      </w:pPr>
      <w:r>
        <w:rPr>
          <w:rFonts w:ascii="STSong" w:hAnsi="STSong" w:eastAsia="STSong" w:cs="STSong"/>
          <w:b/>
          <w:color w:val="000000"/>
          <w:sz w:val="27"/>
        </w:rPr>
        <w:t>3.5 校验与离线场景覆盖</w:t>
      </w:r>
    </w:p>
    <w:tbl>
      <w:tblPr>
        <w:tblW w:type="dxa" w:w="9500"/>
        <w:jc w:val="center"/>
        <w:tblLayout w:type="fixed"/>
        <w:tblLook w:firstColumn="1" w:firstRow="1" w:lastColumn="0" w:lastRow="0" w:noHBand="0" w:noVBand="1" w:val="04A0"/>
      </w:tblPr>
      <w:tblGrid>
        <w:gridCol w:w="2800"/>
        <w:gridCol w:w="6700"/>
      </w:tblGrid>
      <w:tr>
        <w:trPr>
          <w:tblHeader w:val="true"/>
        </w:trPr>
        <w:tc>
          <w:tcPr>
            <w:tcW w:type="dxa" w:w="28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校验项</w:t>
            </w:r>
          </w:p>
        </w:tc>
        <w:tc>
          <w:tcPr>
            <w:tcW w:type="dxa" w:w="67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Codex 结果</w:t>
            </w:r>
          </w:p>
        </w:tc>
      </w:tr>
      <w:tr>
        <w:tc>
          <w:tcPr>
            <w:tcW w:type="dxa" w:w="28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完整分配校验</w:t>
            </w:r>
          </w:p>
        </w:tc>
        <w:tc>
          <w:tcPr>
            <w:tcW w:type="dxa" w:w="6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通过：31 炉输入对应 31 条 assign 输出</w:t>
            </w:r>
          </w:p>
        </w:tc>
      </w:tr>
      <w:tr>
        <w:tc>
          <w:tcPr>
            <w:tcW w:type="dxa" w:w="28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共享硬约束校验</w:t>
            </w:r>
          </w:p>
        </w:tc>
        <w:tc>
          <w:tcPr>
            <w:tcW w:type="dxa" w:w="6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通过：无规则违反</w:t>
            </w:r>
          </w:p>
        </w:tc>
      </w:tr>
      <w:tr>
        <w:tc>
          <w:tcPr>
            <w:tcW w:type="dxa" w:w="28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场景策略校验</w:t>
            </w:r>
          </w:p>
        </w:tc>
        <w:tc>
          <w:tcPr>
            <w:tcW w:type="dxa" w:w="6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通过：行车 2500 不再出现在最终分配中</w:t>
            </w:r>
          </w:p>
        </w:tc>
      </w:tr>
      <w:tr>
        <w:tc>
          <w:tcPr>
            <w:tcW w:type="dxa" w:w="28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外部 API</w:t>
            </w:r>
          </w:p>
        </w:tc>
        <w:tc>
          <w:tcPr>
            <w:tcW w:type="dxa" w:w="67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未调用；结果为离线 Codex-authored proposal</w:t>
            </w:r>
          </w:p>
        </w:tc>
      </w:tr>
    </w:tbl>
    <w:p>
      <w:pPr>
        <w:spacing w:after="20"/>
      </w:pPr>
    </w:p>
    <w:p>
      <w:pPr>
        <w:spacing w:after="100" w:line="276" w:lineRule="auto"/>
      </w:pPr>
      <w:r>
        <w:rPr>
          <w:rFonts w:ascii="STSong" w:hAnsi="STSong" w:eastAsia="STSong" w:cs="STSong"/>
          <w:b w:val="0"/>
          <w:color w:val="000000"/>
          <w:sz w:val="21"/>
        </w:rPr>
        <w:t>离线 SQLite 场景库共 21 条：1 条决策树成功对照场景，20 条决策树失败后 Codex 成功的压力场景。覆盖行车与物流、钢包、工艺设施、计划节奏、数据状态和复合扰动。</w:t>
      </w:r>
    </w:p>
    <w:tbl>
      <w:tblPr>
        <w:tblW w:type="dxa" w:w="9500"/>
        <w:jc w:val="center"/>
        <w:tblLayout w:type="fixed"/>
        <w:tblLook w:firstColumn="1" w:firstRow="1" w:lastColumn="0" w:lastRow="0" w:noHBand="0" w:noVBand="1" w:val="04A0"/>
      </w:tblPr>
      <w:tblGrid>
        <w:gridCol w:w="2400"/>
        <w:gridCol w:w="5900"/>
        <w:gridCol w:w="1200"/>
      </w:tblGrid>
      <w:tr>
        <w:trPr>
          <w:tblHeader w:val="true"/>
        </w:trPr>
        <w:tc>
          <w:tcPr>
            <w:tcW w:type="dxa" w:w="24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场景组</w:t>
            </w:r>
          </w:p>
        </w:tc>
        <w:tc>
          <w:tcPr>
            <w:tcW w:type="dxa" w:w="59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覆盖内容</w:t>
            </w:r>
          </w:p>
        </w:tc>
        <w:tc>
          <w:tcPr>
            <w:tcW w:type="dxa" w:w="1200"/>
            <w:tcMar>
              <w:top w:w="100" w:type="dxa"/>
              <w:start w:w="120" w:type="dxa"/>
              <w:bottom w:w="100" w:type="dxa"/>
              <w:end w:w="120" w:type="dxa"/>
            </w:tcMar>
            <w:vAlign w:val="center"/>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shd w:fill="1F4D78"/>
          </w:tcPr>
          <w:p>
            <w:pPr>
              <w:spacing w:after="100" w:line="276" w:lineRule="auto"/>
              <w:jc w:val="center"/>
            </w:pPr>
            <w:r>
              <w:rPr>
                <w:rFonts w:ascii="STSong" w:hAnsi="STSong" w:eastAsia="STSong" w:cs="STSong"/>
                <w:b/>
                <w:color w:val="FFFFFF"/>
                <w:sz w:val="19"/>
              </w:rPr>
              <w:t>数量</w:t>
            </w:r>
          </w:p>
        </w:tc>
      </w:tr>
      <w:tr>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行车与物流</w:t>
            </w:r>
          </w:p>
        </w:tc>
        <w:tc>
          <w:tcPr>
            <w:tcW w:type="dxa" w:w="5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离线、降速、限载、范围受限、通道阻塞、遥测过期</w:t>
            </w:r>
          </w:p>
        </w:tc>
        <w:tc>
          <w:tcPr>
            <w:tcW w:type="dxa" w:w="12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6</w:t>
            </w:r>
          </w:p>
        </w:tc>
      </w:tr>
      <w:tr>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钢包</w:t>
            </w:r>
          </w:p>
        </w:tc>
        <w:tc>
          <w:tcPr>
            <w:tcW w:type="dxa" w:w="5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不可用、损坏、衬龄报警、超龄、钢种冲突</w:t>
            </w:r>
          </w:p>
        </w:tc>
        <w:tc>
          <w:tcPr>
            <w:tcW w:type="dxa" w:w="12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5</w:t>
            </w:r>
          </w:p>
        </w:tc>
      </w:tr>
      <w:tr>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工艺设施</w:t>
            </w:r>
          </w:p>
        </w:tc>
        <w:tc>
          <w:tcPr>
            <w:tcW w:type="dxa" w:w="5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设施不可用、氩站不可用、精炼路线变化</w:t>
            </w:r>
          </w:p>
        </w:tc>
        <w:tc>
          <w:tcPr>
            <w:tcW w:type="dxa" w:w="12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3</w:t>
            </w:r>
          </w:p>
        </w:tc>
      </w:tr>
      <w:tr>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计划节奏</w:t>
            </w:r>
          </w:p>
        </w:tc>
        <w:tc>
          <w:tcPr>
            <w:tcW w:type="dxa" w:w="5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计划偏差、转炉延迟、连铸延迟、紧急插单、优先级提升</w:t>
            </w:r>
          </w:p>
        </w:tc>
        <w:tc>
          <w:tcPr>
            <w:tcW w:type="dxa" w:w="12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5</w:t>
            </w:r>
          </w:p>
        </w:tc>
      </w:tr>
      <w:tr>
        <w:tc>
          <w:tcPr>
            <w:tcW w:type="dxa" w:w="24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复合与对照</w:t>
            </w:r>
          </w:p>
        </w:tc>
        <w:tc>
          <w:tcPr>
            <w:tcW w:type="dxa" w:w="59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复合扰动、决策树成功对照</w:t>
            </w:r>
          </w:p>
        </w:tc>
        <w:tc>
          <w:tcPr>
            <w:tcW w:type="dxa" w:w="1200"/>
            <w:tcBorders>
              <w:top w:val="single" w:sz="6" w:space="0" w:color="C6D6E5"/>
              <w:left w:val="single" w:sz="6" w:space="0" w:color="C6D6E5"/>
              <w:bottom w:val="single" w:sz="6" w:space="0" w:color="C6D6E5"/>
              <w:right w:val="single" w:sz="6" w:space="0" w:color="C6D6E5"/>
              <w:insideH w:val="single" w:sz="6" w:space="0" w:color="C6D6E5"/>
              <w:insideV w:val="single" w:sz="6" w:space="0" w:color="C6D6E5"/>
            </w:tcBorders>
            <w:tcMar>
              <w:top w:w="100" w:type="dxa"/>
              <w:start w:w="120" w:type="dxa"/>
              <w:bottom w:w="100" w:type="dxa"/>
              <w:end w:w="120" w:type="dxa"/>
            </w:tcMar>
          </w:tcPr>
          <w:p>
            <w:pPr>
              <w:spacing w:after="100" w:line="276" w:lineRule="auto"/>
              <w:jc w:val="center"/>
            </w:pPr>
            <w:r>
              <w:rPr>
                <w:rFonts w:ascii="STSong" w:hAnsi="STSong" w:eastAsia="STSong" w:cs="STSong"/>
                <w:b w:val="0"/>
                <w:color w:val="000000"/>
                <w:sz w:val="19"/>
              </w:rPr>
              <w:t>2</w:t>
            </w:r>
          </w:p>
        </w:tc>
      </w:tr>
    </w:tbl>
    <w:p>
      <w:pPr>
        <w:spacing w:after="20"/>
      </w:pPr>
    </w:p>
    <w:p>
      <w:pPr>
        <w:pStyle w:val="1"/>
        <w:keepNext/>
        <w:spacing w:before="280" w:after="100"/>
      </w:pPr>
      <w:r>
        <w:rPr>
          <w:rFonts w:ascii="STSong" w:hAnsi="STSong" w:eastAsia="STSong" w:cs="STSong"/>
          <w:b/>
          <w:color w:val="000000"/>
          <w:sz w:val="32"/>
        </w:rPr>
        <w:t>4. 结论与下一步工作</w:t>
      </w:r>
    </w:p>
    <w:p>
      <w:pPr>
        <w:pStyle w:val="2"/>
        <w:keepNext/>
        <w:spacing w:before="180" w:after="100"/>
      </w:pPr>
      <w:r>
        <w:rPr>
          <w:rFonts w:ascii="STSong" w:hAnsi="STSong" w:eastAsia="STSong" w:cs="STSong"/>
          <w:b/>
          <w:color w:val="000000"/>
          <w:sz w:val="27"/>
        </w:rPr>
        <w:t>4.1 结论</w:t>
      </w:r>
    </w:p>
    <w:p>
      <w:pPr>
        <w:spacing w:after="100" w:line="276" w:lineRule="auto"/>
      </w:pPr>
      <w:r>
        <w:rPr>
          <w:rFonts w:ascii="STSong" w:hAnsi="STSong" w:eastAsia="STSong" w:cs="STSong"/>
          <w:b w:val="0"/>
          <w:color w:val="000000"/>
          <w:sz w:val="21"/>
        </w:rPr>
        <w:t>本次验证完成了“决策树优先 -&gt; 失败识别 -&gt; Codex 局部重排 -&gt; 统一校验 -&gt; 方案下发”的离线闭环。真实 11:00–11:20 窗口中，决策树完成 30/31，Codex 完成 31/31；Codex 只改动 4 炉，27 炉保持原计划，体现的是局部重排而不是全量重算。</w:t>
      </w:r>
    </w:p>
    <w:tbl>
      <w:tblPr>
        <w:tblW w:type="dxa" w:w="9500"/>
        <w:jc w:val="center"/>
        <w:tblLayout w:type="fixed"/>
        <w:tblLook w:firstColumn="1" w:firstRow="1" w:lastColumn="0" w:lastRow="0" w:noHBand="0" w:noVBand="1" w:val="04A0"/>
      </w:tblPr>
      <w:tblGrid>
        <w:gridCol w:w="9500"/>
      </w:tblGrid>
      <w:tr>
        <w:tc>
          <w:tcPr>
            <w:tcW w:type="dxa" w:w="9500"/>
            <w:tcMar>
              <w:top w:w="100" w:type="dxa"/>
              <w:start w:w="120" w:type="dxa"/>
              <w:bottom w:w="100" w:type="dxa"/>
              <w:end w:w="120" w:type="dxa"/>
            </w:tcMar>
            <w:vAlign w:val="center"/>
            <w:tcBorders>
              <w:top w:val="single" w:sz="8" w:space="0" w:color="A7C6E2"/>
              <w:left w:val="single" w:sz="8" w:space="0" w:color="A7C6E2"/>
              <w:bottom w:val="single" w:sz="8" w:space="0" w:color="A7C6E2"/>
              <w:right w:val="single" w:sz="8" w:space="0" w:color="A7C6E2"/>
              <w:insideH w:val="single" w:sz="8" w:space="0" w:color="A7C6E2"/>
              <w:insideV w:val="single" w:sz="8" w:space="0" w:color="A7C6E2"/>
            </w:tcBorders>
            <w:shd w:fill="FFF4E5"/>
          </w:tcPr>
          <w:p>
            <w:pPr>
              <w:spacing w:after="100" w:line="276" w:lineRule="auto"/>
            </w:pPr>
            <w:r>
              <w:rPr>
                <w:rFonts w:ascii="STSong" w:hAnsi="STSong" w:eastAsia="STSong" w:cs="STSong"/>
                <w:b w:val="0"/>
                <w:color w:val="000000"/>
                <w:sz w:val="20"/>
              </w:rPr>
              <w:t>必须保留的边界：</w:t>
            </w:r>
            <w:r>
              <w:rPr>
                <w:rFonts w:ascii="STSong" w:hAnsi="STSong" w:eastAsia="STSong" w:cs="STSong"/>
                <w:b w:val="0"/>
                <w:color w:val="000000"/>
                <w:sz w:val="20"/>
              </w:rPr>
              <w:t>本报告证明的是真实历史数据快照上的离线回放和可复现压力场景下的方案生成能力，不替代现场实时生产验收、安全联锁、人工审批或真实 API 延迟评估。</w:t>
            </w:r>
          </w:p>
        </w:tc>
      </w:tr>
    </w:tbl>
    <w:p>
      <w:pPr>
        <w:spacing w:after="20"/>
      </w:pPr>
    </w:p>
    <w:p>
      <w:pPr>
        <w:pStyle w:val="2"/>
        <w:keepNext/>
        <w:spacing w:before="180" w:after="100"/>
      </w:pPr>
      <w:r>
        <w:rPr>
          <w:rFonts w:ascii="STSong" w:hAnsi="STSong" w:eastAsia="STSong" w:cs="STSong"/>
          <w:b/>
          <w:color w:val="000000"/>
          <w:sz w:val="27"/>
        </w:rPr>
        <w:t>4.2 下一步工作</w:t>
      </w:r>
    </w:p>
    <w:p>
      <w:pPr>
        <w:pStyle w:val="a4"/>
        <w:numPr>
          <w:ilvl w:val="0"/>
          <w:numId w:val="1"/>
        </w:numPr>
        <w:spacing w:after="100" w:line="276" w:lineRule="auto"/>
      </w:pPr>
      <w:r>
        <w:rPr>
          <w:rFonts w:ascii="STSong" w:hAnsi="STSong" w:eastAsia="STSong" w:cs="STSong"/>
          <w:b w:val="0"/>
          <w:color w:val="000000"/>
          <w:sz w:val="21"/>
        </w:rPr>
        <w:t>接入实时事件流和实时资源状态，验证事件时间、窗口锁定和 90 s 冻结边界。</w:t>
      </w:r>
    </w:p>
    <w:p>
      <w:pPr>
        <w:pStyle w:val="a4"/>
        <w:numPr>
          <w:ilvl w:val="0"/>
          <w:numId w:val="1"/>
        </w:numPr>
        <w:spacing w:after="100" w:line="276" w:lineRule="auto"/>
      </w:pPr>
      <w:r>
        <w:rPr>
          <w:rFonts w:ascii="STSong" w:hAnsi="STSong" w:eastAsia="STSong" w:cs="STSong"/>
          <w:b w:val="0"/>
          <w:color w:val="000000"/>
          <w:sz w:val="21"/>
        </w:rPr>
        <w:t>补充现场调度约束和人工审批接口，保留每轮输入、提案、校验反馈与最终下发记录。</w:t>
      </w:r>
    </w:p>
    <w:p>
      <w:pPr>
        <w:pStyle w:val="a4"/>
        <w:numPr>
          <w:ilvl w:val="0"/>
          <w:numId w:val="1"/>
        </w:numPr>
        <w:spacing w:after="100" w:line="276" w:lineRule="auto"/>
      </w:pPr>
      <w:r>
        <w:rPr>
          <w:rFonts w:ascii="STSong" w:hAnsi="STSong" w:eastAsia="STSong" w:cs="STSong"/>
          <w:b w:val="0"/>
          <w:color w:val="000000"/>
          <w:sz w:val="21"/>
        </w:rPr>
        <w:t>在沙箱环境开展真实 API 联调，测量网络、模型和校验器的端到端耗时，不把离线适配器耗时当作线上 LLM 延迟。</w:t>
      </w:r>
    </w:p>
    <w:p>
      <w:pPr>
        <w:pStyle w:val="a4"/>
        <w:numPr>
          <w:ilvl w:val="0"/>
          <w:numId w:val="1"/>
        </w:numPr>
        <w:spacing w:after="100" w:line="276" w:lineRule="auto"/>
      </w:pPr>
      <w:r>
        <w:rPr>
          <w:rFonts w:ascii="STSong" w:hAnsi="STSong" w:eastAsia="STSong" w:cs="STSong"/>
          <w:b w:val="0"/>
          <w:color w:val="000000"/>
          <w:sz w:val="21"/>
        </w:rPr>
        <w:t>用现场确认后的事故样本复核 20 类扰动场景，逐步替换当前的受控压力参数。</w:t>
      </w:r>
    </w:p>
    <w:sectPr w:rsidR="00D8642E">
      <w:headerReference w:type="default" r:id="rId11"/>
      <w:footerReference w:type="default" r:id="rId12"/>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3B45" w:rsidRDefault="00323B45">
      <w:r>
        <w:separator/>
      </w:r>
    </w:p>
  </w:endnote>
  <w:endnote w:type="continuationSeparator" w:id="0">
    <w:p w:rsidR="00323B45" w:rsidRDefault="00323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rFonts w:ascii="STSong" w:hAnsi="STSong" w:eastAsia="STSong" w:cs="STSong"/>
        <w:color w:val="888888"/>
        <w:sz w:val="16"/>
      </w:rPr>
      <w:t xml:space="preserve">LLM 局部重调度方案验证报告 | </w:t>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3B45" w:rsidRDefault="00323B45">
      <w:r>
        <w:separator/>
      </w:r>
    </w:p>
  </w:footnote>
  <w:footnote w:type="continuationSeparator" w:id="0">
    <w:p w:rsidR="00323B45" w:rsidRDefault="00323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642E" w:rsidRDefault="00D8642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64F2B"/>
    <w:multiLevelType w:val="hybridMultilevel"/>
    <w:tmpl w:val="C024B900"/>
    <w:lvl w:ilvl="0" w:tplc="EF3466C6">
      <w:start w:val="1"/>
      <w:numFmt w:val="bullet"/>
      <w:lvlText w:val="•"/>
      <w:lvlJc w:val="left"/>
      <w:pPr>
        <w:ind w:left="720" w:hanging="360"/>
      </w:pPr>
    </w:lvl>
    <w:lvl w:ilvl="1" w:tplc="2FCAC28E">
      <w:numFmt w:val="decimal"/>
      <w:lvlText w:val=""/>
      <w:lvlJc w:val="left"/>
    </w:lvl>
    <w:lvl w:ilvl="2" w:tplc="71F2BEEC">
      <w:numFmt w:val="decimal"/>
      <w:lvlText w:val=""/>
      <w:lvlJc w:val="left"/>
    </w:lvl>
    <w:lvl w:ilvl="3" w:tplc="E6E43E18">
      <w:numFmt w:val="decimal"/>
      <w:lvlText w:val=""/>
      <w:lvlJc w:val="left"/>
    </w:lvl>
    <w:lvl w:ilvl="4" w:tplc="9546102A">
      <w:numFmt w:val="decimal"/>
      <w:lvlText w:val=""/>
      <w:lvlJc w:val="left"/>
    </w:lvl>
    <w:lvl w:ilvl="5" w:tplc="A2AC2DC4">
      <w:numFmt w:val="decimal"/>
      <w:lvlText w:val=""/>
      <w:lvlJc w:val="left"/>
    </w:lvl>
    <w:lvl w:ilvl="6" w:tplc="1414C690">
      <w:numFmt w:val="decimal"/>
      <w:lvlText w:val=""/>
      <w:lvlJc w:val="left"/>
    </w:lvl>
    <w:lvl w:ilvl="7" w:tplc="26CCDEB4">
      <w:numFmt w:val="decimal"/>
      <w:lvlText w:val=""/>
      <w:lvlJc w:val="left"/>
    </w:lvl>
    <w:lvl w:ilvl="8" w:tplc="1A18754C">
      <w:numFmt w:val="decimal"/>
      <w:lvlText w:val=""/>
      <w:lvlJc w:val="left"/>
    </w:lvl>
  </w:abstractNum>
  <w:abstractNum w:abstractNumId="1" w15:restartNumberingAfterBreak="0">
    <w:nsid w:val="1B80418B"/>
    <w:multiLevelType w:val="hybridMultilevel"/>
    <w:tmpl w:val="627EE130"/>
    <w:lvl w:ilvl="0" w:tplc="A6C2E792">
      <w:start w:val="1"/>
      <w:numFmt w:val="decimal"/>
      <w:lvlText w:val="%1."/>
      <w:lvlJc w:val="left"/>
      <w:pPr>
        <w:ind w:left="720" w:hanging="360"/>
      </w:pPr>
    </w:lvl>
    <w:lvl w:ilvl="1" w:tplc="773255C4">
      <w:numFmt w:val="decimal"/>
      <w:lvlText w:val=""/>
      <w:lvlJc w:val="left"/>
    </w:lvl>
    <w:lvl w:ilvl="2" w:tplc="CA3E3C14">
      <w:numFmt w:val="decimal"/>
      <w:lvlText w:val=""/>
      <w:lvlJc w:val="left"/>
    </w:lvl>
    <w:lvl w:ilvl="3" w:tplc="31D66B3C">
      <w:numFmt w:val="decimal"/>
      <w:lvlText w:val=""/>
      <w:lvlJc w:val="left"/>
    </w:lvl>
    <w:lvl w:ilvl="4" w:tplc="36EA1E5E">
      <w:numFmt w:val="decimal"/>
      <w:lvlText w:val=""/>
      <w:lvlJc w:val="left"/>
    </w:lvl>
    <w:lvl w:ilvl="5" w:tplc="8782EC4A">
      <w:numFmt w:val="decimal"/>
      <w:lvlText w:val=""/>
      <w:lvlJc w:val="left"/>
    </w:lvl>
    <w:lvl w:ilvl="6" w:tplc="5F0E3542">
      <w:numFmt w:val="decimal"/>
      <w:lvlText w:val=""/>
      <w:lvlJc w:val="left"/>
    </w:lvl>
    <w:lvl w:ilvl="7" w:tplc="6BDC6460">
      <w:numFmt w:val="decimal"/>
      <w:lvlText w:val=""/>
      <w:lvlJc w:val="left"/>
    </w:lvl>
    <w:lvl w:ilvl="8" w:tplc="40345EAE">
      <w:numFmt w:val="decimal"/>
      <w:lvlText w:val=""/>
      <w:lvlJc w:val="left"/>
    </w:lvl>
  </w:abstractNum>
  <w:abstractNum w:abstractNumId="2" w15:restartNumberingAfterBreak="0">
    <w:nsid w:val="3BBC63B6"/>
    <w:multiLevelType w:val="hybridMultilevel"/>
    <w:tmpl w:val="2D021180"/>
    <w:lvl w:ilvl="0" w:tplc="DC2E5168">
      <w:start w:val="1"/>
      <w:numFmt w:val="bullet"/>
      <w:lvlText w:val="●"/>
      <w:lvlJc w:val="left"/>
      <w:pPr>
        <w:ind w:left="720" w:hanging="360"/>
      </w:pPr>
    </w:lvl>
    <w:lvl w:ilvl="1" w:tplc="52782A6A">
      <w:start w:val="1"/>
      <w:numFmt w:val="bullet"/>
      <w:lvlText w:val="○"/>
      <w:lvlJc w:val="left"/>
      <w:pPr>
        <w:ind w:left="1440" w:hanging="360"/>
      </w:pPr>
    </w:lvl>
    <w:lvl w:ilvl="2" w:tplc="7B62BEC8">
      <w:start w:val="1"/>
      <w:numFmt w:val="bullet"/>
      <w:lvlText w:val="■"/>
      <w:lvlJc w:val="left"/>
      <w:pPr>
        <w:ind w:left="2160" w:hanging="360"/>
      </w:pPr>
    </w:lvl>
    <w:lvl w:ilvl="3" w:tplc="9D8A33CE">
      <w:start w:val="1"/>
      <w:numFmt w:val="bullet"/>
      <w:lvlText w:val="●"/>
      <w:lvlJc w:val="left"/>
      <w:pPr>
        <w:ind w:left="2880" w:hanging="360"/>
      </w:pPr>
    </w:lvl>
    <w:lvl w:ilvl="4" w:tplc="E6D06D4E">
      <w:start w:val="1"/>
      <w:numFmt w:val="bullet"/>
      <w:lvlText w:val="○"/>
      <w:lvlJc w:val="left"/>
      <w:pPr>
        <w:ind w:left="3600" w:hanging="360"/>
      </w:pPr>
    </w:lvl>
    <w:lvl w:ilvl="5" w:tplc="AD42662E">
      <w:start w:val="1"/>
      <w:numFmt w:val="bullet"/>
      <w:lvlText w:val="■"/>
      <w:lvlJc w:val="left"/>
      <w:pPr>
        <w:ind w:left="4320" w:hanging="360"/>
      </w:pPr>
    </w:lvl>
    <w:lvl w:ilvl="6" w:tplc="53DA3C82">
      <w:start w:val="1"/>
      <w:numFmt w:val="bullet"/>
      <w:lvlText w:val="●"/>
      <w:lvlJc w:val="left"/>
      <w:pPr>
        <w:ind w:left="5040" w:hanging="360"/>
      </w:pPr>
    </w:lvl>
    <w:lvl w:ilvl="7" w:tplc="D7DA78F0">
      <w:start w:val="1"/>
      <w:numFmt w:val="bullet"/>
      <w:lvlText w:val="●"/>
      <w:lvlJc w:val="left"/>
      <w:pPr>
        <w:ind w:left="5760" w:hanging="360"/>
      </w:pPr>
    </w:lvl>
    <w:lvl w:ilvl="8" w:tplc="FB14D752">
      <w:start w:val="1"/>
      <w:numFmt w:val="bullet"/>
      <w:lvlText w:val="●"/>
      <w:lvlJc w:val="left"/>
      <w:pPr>
        <w:ind w:left="6480" w:hanging="360"/>
      </w:pPr>
    </w:lvl>
  </w:abstractNum>
  <w:num w:numId="1" w16cid:durableId="9677851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4"/>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2E"/>
    <w:rsid w:val="000A4D02"/>
    <w:rsid w:val="0014422E"/>
    <w:rsid w:val="00323B45"/>
    <w:rsid w:val="00D86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F9EB84"/>
  <w15:docId w15:val="{488500D1-6EFB-5644-BDE7-31FD26C02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STSong" w:hAnsi="STSong" w:eastAsia="STSong" w:cs="STSong"/>
      <w:sz w:val="21"/>
    </w:rPr>
  </w:style>
  <w:style w:type="paragraph" w:styleId="1">
    <w:name w:val="heading 1"/>
    <w:uiPriority w:val="9"/>
    <w:qFormat/>
    <w:pPr>
      <w:spacing w:before="320" w:after="120"/>
      <w:outlineLvl w:val="0"/>
    </w:pPr>
    <w:rPr>
      <w:rFonts w:ascii="STSong" w:hAnsi="STSong" w:eastAsia="STSong" w:cs="STSong"/>
      <w:b/>
      <w:bCs/>
      <w:sz w:val="32"/>
      <w:szCs w:val="32"/>
    </w:rPr>
  </w:style>
  <w:style w:type="paragraph" w:styleId="2">
    <w:name w:val="heading 2"/>
    <w:uiPriority w:val="9"/>
    <w:unhideWhenUsed/>
    <w:qFormat/>
    <w:pPr>
      <w:spacing w:before="240" w:after="120"/>
      <w:outlineLvl w:val="1"/>
    </w:pPr>
    <w:rPr>
      <w:rFonts w:ascii="STSong" w:hAnsi="STSong" w:eastAsia="STSong" w:cs="STSong"/>
      <w:b/>
      <w:bCs/>
      <w:sz w:val="27"/>
      <w:szCs w:val="28"/>
    </w:rPr>
  </w:style>
  <w:style w:type="paragraph" w:styleId="3">
    <w:name w:val="heading 3"/>
    <w:uiPriority w:val="9"/>
    <w:semiHidden/>
    <w:unhideWhenUsed/>
    <w:qFormat/>
    <w:pPr>
      <w:outlineLvl w:val="2"/>
    </w:pPr>
    <w:rPr>
      <w:rFonts w:ascii="STSong" w:hAnsi="STSong" w:eastAsia="STSong" w:cs="STSong"/>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STSong" w:hAnsi="STSong" w:eastAsia="STSong" w:cs="STSong"/>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14422E"/>
    <w:pPr>
      <w:tabs>
        <w:tab w:val="center" w:pos="4153"/>
        <w:tab w:val="right" w:pos="8306"/>
      </w:tabs>
      <w:snapToGrid w:val="0"/>
      <w:jc w:val="center"/>
    </w:pPr>
    <w:rPr>
      <w:sz w:val="18"/>
      <w:szCs w:val="18"/>
    </w:rPr>
  </w:style>
  <w:style w:type="character" w:customStyle="1" w:styleId="ad">
    <w:name w:val="页眉 字符"/>
    <w:basedOn w:val="a0"/>
    <w:link w:val="ac"/>
    <w:uiPriority w:val="99"/>
    <w:rsid w:val="0014422E"/>
    <w:rPr>
      <w:sz w:val="18"/>
      <w:szCs w:val="18"/>
    </w:rPr>
  </w:style>
  <w:style w:type="paragraph" w:styleId="ae">
    <w:name w:val="footer"/>
    <w:basedOn w:val="a"/>
    <w:link w:val="af"/>
    <w:uiPriority w:val="99"/>
    <w:unhideWhenUsed/>
    <w:rsid w:val="0014422E"/>
    <w:pPr>
      <w:tabs>
        <w:tab w:val="center" w:pos="4153"/>
        <w:tab w:val="right" w:pos="8306"/>
      </w:tabs>
      <w:snapToGrid w:val="0"/>
    </w:pPr>
    <w:rPr>
      <w:sz w:val="18"/>
      <w:szCs w:val="18"/>
    </w:rPr>
  </w:style>
  <w:style w:type="character" w:customStyle="1" w:styleId="af">
    <w:name w:val="页脚 字符"/>
    <w:basedOn w:val="a0"/>
    <w:link w:val="ae"/>
    <w:uiPriority w:val="99"/>
    <w:rsid w:val="001442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180</Words>
  <Characters>1032</Characters>
  <Application>Microsoft Office Word</Application>
  <DocSecurity>0</DocSecurity>
  <Lines>8</Lines>
  <Paragraphs>2</Paragraphs>
  <ScaleCrop>false</ScaleCrop>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2026-08-06T11:29:00Z</dcterms:created>
  <dcterms:modified xsi:type="dcterms:W3CDTF">2026-08-06T11:29:00Z</dcterms:modified>
</cp:coreProperties>
</file>