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 w:line="360" w:lineRule="auto"/>
        <w:jc w:val="center"/>
      </w:pPr>
      <w:r>
        <w:rPr>
          <w:rFonts w:ascii="Songti SC" w:hAnsi="Songti SC" w:eastAsia="Songti SC" w:cs="Songti SC" w:hint="eastAsia"/>
          <w:b/>
          <w:color w:val="000000"/>
          <w:sz w:val="56"/>
          <w:lang w:val="en-US" w:eastAsia="zh-CN" w:bidi="en-US"/>
        </w:rPr>
        <w:t>钢包重排包评价体系建立</w:t>
      </w:r>
    </w:p>
    <w:p>
      <w:pPr>
        <w:spacing w:after="320" w:line="360" w:lineRule="auto"/>
        <w:jc w:val="center"/>
      </w:pPr>
      <w:r>
        <w:rPr>
          <w:rFonts w:ascii="Songti SC" w:hAnsi="Songti SC" w:eastAsia="Songti SC" w:cs="Songti SC" w:hint="eastAsia"/>
          <w:b w:val="0"/>
          <w:color w:val="1F4D78"/>
          <w:sz w:val="24"/>
          <w:lang w:val="en-US" w:eastAsia="zh-CN" w:bidi="en-US"/>
        </w:rPr>
        <w:t>真实数据回放与两种重排方案评价</w:t>
      </w:r>
    </w:p>
    <w:p>
      <w:pPr>
        <w:spacing w:after="100" w:line="360" w:lineRule="auto"/>
        <w:jc w:val="center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日期：</w:t>
      </w: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2026-08-31</w:t>
      </w: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 xml:space="preserve">    分支：</w:t>
      </w: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feature-1.0</w:t>
      </w:r>
    </w:p>
    <w:p>
      <w:pPr>
        <w:spacing w:after="60"/>
      </w:pPr>
    </w:p>
    <w:p>
      <w:pPr>
        <w:pStyle w:val="1"/>
        <w:keepNext/>
        <w:spacing w:before="280" w:after="100"/>
      </w:pPr>
      <w:r>
        <w:rPr>
          <w:rFonts w:ascii="Songti SC" w:hAnsi="Songti SC" w:eastAsia="Songti SC" w:cs="Songti SC" w:hint="eastAsia"/>
          <w:b/>
          <w:color w:val="000000"/>
          <w:sz w:val="32"/>
          <w:lang w:val="en-US" w:eastAsia="zh-CN" w:bidi="en-US"/>
        </w:rPr>
        <w:t>1. 一句话结论</w:t>
      </w: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真实 11:00–11:20 窗口共 31 炉。行车 2500 离线后，决策树重排方案完成 30/31；Codex 重排方案完成 31/31，改配 3 炉，28 炉保留预配基线，规则违反 0。本次推荐 Codex 重排方案。</w:t>
      </w: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推荐原因：决策树重排方案完成 30/31、规则违反 1；Codex 重排方案完成 31/31、规则违反 0。 Codex 的定位是决策树失败后的自动兜底，不替代全量预配包，也不绕过统一校验。</w:t>
      </w:r>
    </w:p>
    <w:p>
      <w:pPr>
        <w:pStyle w:val="2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1.1 当前系统状态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40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项目</w:t>
            </w:r>
          </w:p>
        </w:tc>
        <w:tc>
          <w:tcPr>
            <w:tcW w:type="dxa" w:w="7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当前结果</w:t>
            </w:r>
          </w:p>
        </w:tc>
      </w:tr>
      <w:tr>
        <w:tc>
          <w:tcPr>
            <w:tcW w:type="dxa" w:w="21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全量预配包</w:t>
            </w:r>
          </w:p>
        </w:tc>
        <w:tc>
          <w:tcPr>
            <w:tcW w:type="dxa" w:w="7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真实 PLAN(1) 469 行中纳入评测 457 炉；决策树基线 457/457，规则违反 0</w:t>
            </w:r>
          </w:p>
        </w:tc>
      </w:tr>
      <w:tr>
        <w:tc>
          <w:tcPr>
            <w:tcW w:type="dxa" w:w="21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生产响应</w:t>
            </w:r>
          </w:p>
        </w:tc>
        <w:tc>
          <w:tcPr>
            <w:tcW w:type="dxa" w:w="7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滑窗推进；扰动只打开当前时刻附近的局部炉次窗口</w:t>
            </w:r>
          </w:p>
        </w:tc>
      </w:tr>
      <w:tr>
        <w:tc>
          <w:tcPr>
            <w:tcW w:type="dxa" w:w="21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Codex 角色</w:t>
            </w:r>
          </w:p>
        </w:tc>
        <w:tc>
          <w:tcPr>
            <w:tcW w:type="dxa" w:w="7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决策树失败且扣除 90 s 安全余量后仍有可用预算时介入，输出可审计的替代配包方案</w:t>
            </w:r>
          </w:p>
        </w:tc>
      </w:tr>
    </w:tbl>
    <w:p>
      <w:pPr>
        <w:spacing w:after="20"/>
      </w:pP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9500"/>
      </w:tblGrid>
      <w:tr>
        <w:tc>
          <w:tcPr>
            <w:tcW w:type="dxa" w:w="9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  <w:insideH w:val="single" w:sz="8" w:space="0" w:color="A7C6E2"/>
              <w:insideV w:val="single" w:sz="8" w:space="0" w:color="A7C6E2"/>
            </w:tcBorders>
            <w:shd w:fill="F1F6FB"/>
          </w:tcPr>
          <w:p>
            <w:pPr>
              <w:spacing w:after="100" w:line="360" w:lineRule="auto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20"/>
                <w:lang w:val="en-US" w:eastAsia="zh-CN" w:bidi="en-US"/>
              </w:rPr>
              <w:t>验证目标：</w:t>
            </w:r>
            <w:r>
              <w:rPr>
                <w:rFonts w:ascii="Songti SC" w:hAnsi="Songti SC" w:eastAsia="Songti SC" w:cs="Songti SC" w:hint="eastAsia"/>
                <w:b w:val="0"/>
                <w:color w:val="000000"/>
                <w:sz w:val="20"/>
                <w:lang w:val="en-US" w:eastAsia="zh-CN" w:bidi="en-US"/>
              </w:rPr>
              <w:t>确认决策树失败时，Codex 能基于真实资源与约束完成局部窗口重排，并且只修改必要炉次。</w:t>
            </w:r>
          </w:p>
        </w:tc>
      </w:tr>
    </w:tbl>
    <w:p>
      <w:pPr>
        <w:spacing w:after="20"/>
      </w:pPr>
    </w:p>
    <w:p>
      <w:pPr>
        <w:pStyle w:val="1"/>
        <w:keepNext/>
        <w:spacing w:before="280" w:after="100"/>
      </w:pPr>
      <w:r>
        <w:rPr>
          <w:rFonts w:ascii="Songti SC" w:hAnsi="Songti SC" w:eastAsia="Songti SC" w:cs="Songti SC" w:hint="eastAsia"/>
          <w:b/>
          <w:color w:val="000000"/>
          <w:sz w:val="32"/>
          <w:lang w:val="en-US" w:eastAsia="zh-CN" w:bidi="en-US"/>
        </w:rPr>
        <w:t>2. 处理流程</w:t>
      </w:r>
    </w:p>
    <w:p>
      <w:pPr>
        <w:pStyle w:val="2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2.1 预配基线进入两条独立重排线路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escheduling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Songti SC" w:hAnsi="Songti SC" w:eastAsia="Songti SC" w:cs="Songti SC" w:hint="eastAsia"/>
          <w:b w:val="0"/>
          <w:color w:val="666666"/>
          <w:sz w:val="18"/>
          <w:lang w:val="en-US" w:eastAsia="zh-CN" w:bidi="en-US"/>
        </w:rPr>
        <w:t>图 1  真实数据压力回放中的局部重调度闭环</w:t>
      </w: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预配基线是唯一共同基线；决策树重排方案与 Codex 重排方案两条线路独立。Codex 不读取决策树输出，只在决策树失败后读取预配基线、事故状态、可用资源和约束。</w:t>
      </w:r>
    </w:p>
    <w:p>
      <w:pPr>
        <w:pStyle w:val="2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2.2 评价指标体系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-indicator-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Songti SC" w:hAnsi="Songti SC" w:eastAsia="Songti SC" w:cs="Songti SC" w:hint="eastAsia"/>
          <w:b w:val="0"/>
          <w:color w:val="666666"/>
          <w:sz w:val="18"/>
          <w:lang w:val="en-US" w:eastAsia="zh-CN" w:bidi="en-US"/>
        </w:rPr>
        <w:t>图 2  决策树与 Codex 的统一评价指标体系</w:t>
      </w: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选择顺序只有一句话：先判能不能安全下发，再比按时率和延迟，最后比改配规模和资源稳定性。</w:t>
      </w:r>
    </w:p>
    <w:p>
      <w:pPr>
        <w:pStyle w:val="3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一、安全可行性门槛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2050"/>
        <w:gridCol w:w="2050"/>
        <w:gridCol w:w="1250"/>
        <w:gridCol w:w="1450"/>
        <w:gridCol w:w="145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指标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含义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计算方式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判定方向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决策树重排方案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Codex 重排方案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完整分配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窗口内每炉都有钢包和行车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已分配炉次 ÷ 窗口炉次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必须等于 100%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30/31，不通过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31/31，通过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硬约束违反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检查钢包、行车、时间、位置、路线、负载和安全距离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所有违规项计数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必须等于 0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1，不通过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0，通过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资源与路线合法性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分配的钢包、行车和运输路线必须在当前快照中可用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逐炉校验资源存在且路线可达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任一违规即不可下发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存在未满足项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全部满足</w:t>
            </w:r>
          </w:p>
        </w:tc>
      </w:tr>
    </w:tbl>
    <w:p>
      <w:pPr>
        <w:spacing w:after="20"/>
      </w:pPr>
    </w:p>
    <w:p>
      <w:pPr>
        <w:pStyle w:val="3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二、生产效果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2050"/>
        <w:gridCol w:w="2050"/>
        <w:gridCol w:w="1250"/>
        <w:gridCol w:w="1450"/>
        <w:gridCol w:w="145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指标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含义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计算方式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判定方向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决策树重排方案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Codex 重排方案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按时率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在炉次时间窗结束前完成运输的比例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按时炉次 ÷ 窗口炉次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越高越好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96.77%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100.00%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平均延迟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每炉超出时间窗的延迟，未超时按 0 计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平均值：max(到达时刻 − 时间窗结束, 0)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越低越好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2655.6 秒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0.0 秒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最大延迟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窗口内最晚一炉的超时程度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max(每炉延迟)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越低越好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82325 秒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0 秒</w:t>
            </w:r>
          </w:p>
        </w:tc>
      </w:tr>
    </w:tbl>
    <w:p>
      <w:pPr>
        <w:spacing w:after="20"/>
      </w:pPr>
    </w:p>
    <w:p>
      <w:pPr>
        <w:pStyle w:val="3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三、计划稳定性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2050"/>
        <w:gridCol w:w="2050"/>
        <w:gridCol w:w="1250"/>
        <w:gridCol w:w="1450"/>
        <w:gridCol w:w="145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指标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含义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计算方式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判定方向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决策树重排方案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6"/>
                <w:lang w:val="en-US" w:eastAsia="zh-CN" w:bidi="en-US"/>
              </w:rPr>
              <w:t>Codex 重排方案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相对预配基线改配炉次数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重排方案相对生产前预配基线改变钢包或行车的炉次数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逐炉比较钢包编号和行车编号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效果接近时越少越好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29 炉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3 炉；28 炉保留预配基线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资源负载均衡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比较各行车最终负载的离散程度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各行车最终负载的方差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效果接近时越低越好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次级指标，当前审计未单独汇总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次级指标，当前审计未单独汇总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变更范围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扰动只影响当前局部窗口，不扩散到已完成和远期炉次</w:t>
            </w:r>
          </w:p>
        </w:tc>
        <w:tc>
          <w:tcPr>
            <w:tcW w:type="dxa" w:w="20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统计窗口外是否发生改配</w:t>
            </w:r>
          </w:p>
        </w:tc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必须保持局部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局部窗口内重排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6"/>
                <w:lang w:val="en-US" w:eastAsia="zh-CN" w:bidi="en-US"/>
              </w:rPr>
              <w:t>局部窗口内重排</w:t>
            </w:r>
          </w:p>
        </w:tc>
      </w:tr>
    </w:tbl>
    <w:p>
      <w:pPr>
        <w:spacing w:after="20"/>
      </w:pPr>
    </w:p>
    <w:p>
      <w:pPr>
        <w:pStyle w:val="2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2.3 关键判断</w:t>
      </w:r>
    </w:p>
    <w:p>
      <w:pPr>
        <w:keepLines/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本次事件发生在 11:00；最早开浇前还有 313.1 s，扣除 90 s 安全余量后仍有 223.1 s 可用预算，因此允许 Codex 介入。若扣除安全余量后可用预算不大于 0，则不进入 Codex，保留人工升级路径。</w:t>
      </w:r>
    </w:p>
    <w:p>
      <w:pPr>
        <w:pStyle w:val="1"/>
        <w:keepNext/>
        <w:spacing w:before="280" w:after="100"/>
      </w:pPr>
      <w:r>
        <w:rPr>
          <w:rFonts w:ascii="Songti SC" w:hAnsi="Songti SC" w:eastAsia="Songti SC" w:cs="Songti SC" w:hint="eastAsia"/>
          <w:b/>
          <w:color w:val="000000"/>
          <w:sz w:val="32"/>
          <w:lang w:val="en-US" w:eastAsia="zh-CN" w:bidi="en-US"/>
        </w:rPr>
        <w:t>3. 真实实验结果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50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指标</w:t>
            </w:r>
          </w:p>
        </w:tc>
        <w:tc>
          <w:tcPr>
            <w:tcW w:type="dxa" w:w="6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结果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数据范围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PLAN 469 行；纳入评测 457 炉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真实资源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34 个钢包；10 台行车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局部窗口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11:00–11:20，共 31 炉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决策树重排方案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30/31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Codex 重排方案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31/31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改配与稳定性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改配 3 炉；28 炉保留预配基线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硬约束终检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31/31 通过；规则违反 0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最终推荐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Codex 重排方案</w:t>
            </w:r>
          </w:p>
        </w:tc>
      </w:tr>
      <w:tr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推荐原因</w:t>
            </w:r>
          </w:p>
        </w:tc>
        <w:tc>
          <w:tcPr>
            <w:tcW w:type="dxa" w:w="6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决策树重排方案完成 30/31、规则违反 1；Codex 重排方案完成 31/31、规则违反 0。</w:t>
            </w:r>
          </w:p>
        </w:tc>
      </w:tr>
    </w:tbl>
    <w:p>
      <w:pPr>
        <w:spacing w:after="20"/>
      </w:pPr>
    </w:p>
    <w:p>
      <w:pPr>
        <w:pStyle w:val="2"/>
        <w:keepNext/>
        <w:spacing w:before="180" w:after="100"/>
      </w:pPr>
      <w:r>
        <w:rPr>
          <w:rFonts w:ascii="Songti SC" w:hAnsi="Songti SC" w:eastAsia="Songti SC" w:cs="Songti SC" w:hint="eastAsia"/>
          <w:b/>
          <w:color w:val="000000"/>
          <w:sz w:val="27"/>
          <w:lang w:val="en-US" w:eastAsia="zh-CN" w:bidi="en-US"/>
        </w:rPr>
        <w:t>3.1 Codex 实际改配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4400"/>
        <w:gridCol w:w="2500"/>
        <w:gridCol w:w="2600"/>
      </w:tblGrid>
      <w:tr>
        <w:trPr>
          <w:tblHeader w:val="true"/>
        </w:trPr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炉次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预配基线钢包 / 行车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/>
                <w:color w:val="FFFFFF"/>
                <w:sz w:val="19"/>
                <w:lang w:val="en-US" w:eastAsia="zh-CN" w:bidi="en-US"/>
              </w:rPr>
              <w:t>Codex 重排钢包 / 行车</w:t>
            </w:r>
          </w:p>
        </w:tc>
      </w:tr>
      <w:tr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DT0142D1-300759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ST36 / 2500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ST15 / 2520</w:t>
            </w:r>
          </w:p>
        </w:tc>
      </w:tr>
      <w:tr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DT0143D8-300767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ST36 / 2500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ST27 / 1170</w:t>
            </w:r>
          </w:p>
        </w:tc>
      </w:tr>
      <w:tr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DT0164D1-300776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ST36 / 2500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19"/>
                <w:lang w:val="en-US" w:eastAsia="zh-CN" w:bidi="en-US"/>
              </w:rPr>
              <w:t>ST36 / 4170</w:t>
            </w:r>
          </w:p>
        </w:tc>
      </w:tr>
    </w:tbl>
    <w:p>
      <w:pPr>
        <w:spacing w:after="20"/>
      </w:pP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3 个改配均用于避开离线行车 2500；其余 28 炉保持预配基线不动。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9500"/>
      </w:tblGrid>
      <w:tr>
        <w:tc>
          <w:tcPr>
            <w:tcW w:type="dxa" w:w="9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  <w:insideH w:val="single" w:sz="8" w:space="0" w:color="A7C6E2"/>
              <w:insideV w:val="single" w:sz="8" w:space="0" w:color="A7C6E2"/>
            </w:tcBorders>
            <w:shd w:fill="EAF3FA"/>
          </w:tcPr>
          <w:p>
            <w:pPr>
              <w:spacing w:after="100" w:line="360" w:lineRule="auto"/>
            </w:pPr>
            <w:r>
              <w:rPr>
                <w:rFonts w:ascii="Songti SC" w:hAnsi="Songti SC" w:eastAsia="Songti SC" w:cs="Songti SC" w:hint="eastAsia"/>
                <w:b w:val="0"/>
                <w:color w:val="000000"/>
                <w:sz w:val="20"/>
                <w:lang w:val="en-US" w:eastAsia="zh-CN" w:bidi="en-US"/>
              </w:rPr>
              <w:t>相比人工：</w:t>
            </w:r>
            <w:r>
              <w:rPr>
                <w:rFonts w:ascii="Songti SC" w:hAnsi="Songti SC" w:eastAsia="Songti SC" w:cs="Songti SC" w:hint="eastAsia"/>
                <w:b w:val="0"/>
                <w:color w:val="000000"/>
                <w:sz w:val="20"/>
                <w:lang w:val="en-US" w:eastAsia="zh-CN" w:bidi="en-US"/>
              </w:rPr>
              <w:t>传统路径是决策树失败后直接等待人工。Codex 在仍有时间预算时先给出可审计候选，再交由统一终检；本次将决策树重排方案的 30/31 补足到 Codex 重排方案的 31/31。</w:t>
            </w:r>
          </w:p>
        </w:tc>
      </w:tr>
    </w:tbl>
    <w:p>
      <w:pPr>
        <w:spacing w:after="20"/>
      </w:pPr>
    </w:p>
    <w:p>
      <w:pPr>
        <w:pStyle w:val="1"/>
        <w:keepNext/>
        <w:spacing w:before="280" w:after="100"/>
      </w:pPr>
      <w:r>
        <w:rPr>
          <w:rFonts w:ascii="Songti SC" w:hAnsi="Songti SC" w:eastAsia="Songti SC" w:cs="Songti SC" w:hint="eastAsia"/>
          <w:b/>
          <w:color w:val="000000"/>
          <w:sz w:val="32"/>
          <w:lang w:val="en-US" w:eastAsia="zh-CN" w:bidi="en-US"/>
        </w:rPr>
        <w:t>4. 边界与下一步</w:t>
      </w: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行车 2500 离线是基于真实 PLAN/CRANE 快照构造的可复现压力输入，不是宝钢历史事故日志。当前结果验证的是离线回放中的调度输入、方案生成和硬约束闭环，不替代现场 PLC、安全联锁、人工审批或线上 API 延迟验收。</w:t>
      </w:r>
    </w:p>
    <w:p>
      <w:p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离线 SQLite 场景库共 21 条，其中 20 条是“决策树失败、Codex 成功”的压力场景，覆盖行车、通道、钢包、工艺设施、计划节奏、数据状态和复合扰动。当前结果来自离线 Codex 审计方案，未调用外部大模型接口，审计字段为 external_api_called=false。</w:t>
      </w:r>
    </w:p>
    <w:p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接入实时事件流、现场路线和设备联锁约束。</w:t>
      </w:r>
    </w:p>
    <w:p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接入人工审批接口，保留预配基线、两种重排方案和终检记录。</w:t>
      </w:r>
    </w:p>
    <w:p>
      <w:pPr>
        <w:pStyle w:val="a4"/>
        <w:numPr>
          <w:ilvl w:val="0"/>
          <w:numId w:val="1"/>
        </w:numPr>
        <w:spacing w:after="100" w:line="360" w:lineRule="auto"/>
      </w:pPr>
      <w:r>
        <w:rPr>
          <w:rFonts w:ascii="Songti SC" w:hAnsi="Songti SC" w:eastAsia="Songti SC" w:cs="Songti SC" w:hint="eastAsia"/>
          <w:b w:val="0"/>
          <w:color w:val="000000"/>
          <w:sz w:val="21"/>
          <w:lang w:val="en-US" w:eastAsia="zh-CN" w:bidi="en-US"/>
        </w:rPr>
        <w:t>在沙箱环境测量真实 API 的端到端耗时。</w:t>
      </w:r>
    </w:p>
    <w:sectPr w:rsidR="00D8642E">
      <w:headerReference w:type="default" r:id="rId11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3B45" w:rsidRDefault="00323B45">
      <w:r>
        <w:separator/>
      </w:r>
    </w:p>
  </w:endnote>
  <w:endnote w:type="continuationSeparator" w:id="0">
    <w:p w:rsidR="00323B45" w:rsidRDefault="00323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3B45" w:rsidRDefault="00323B45">
      <w:r>
        <w:separator/>
      </w:r>
    </w:p>
  </w:footnote>
  <w:footnote w:type="continuationSeparator" w:id="0">
    <w:p w:rsidR="00323B45" w:rsidRDefault="00323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2D021180"/>
    <w:lvl w:ilvl="0" w:tplc="DC2E5168">
      <w:start w:val="1"/>
      <w:numFmt w:val="bullet"/>
      <w:lvlText w:val="●"/>
      <w:lvlJc w:val="left"/>
      <w:pPr>
        <w:ind w:left="720" w:hanging="360"/>
      </w:p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num w:numId="1" w16cid:durableId="9677851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4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A4D02"/>
    <w:rsid w:val="0014422E"/>
    <w:rsid w:val="00323B45"/>
    <w:rsid w:val="00D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9EB84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Songti SC" w:hAnsi="Songti SC" w:eastAsia="Songti SC" w:cs="Songti SC" w:hint="eastAsia"/>
      <w:sz w:val="21"/>
      <w:lang w:val="en-US" w:eastAsia="zh-CN" w:bidi="en-US"/>
    </w:rPr>
  </w:style>
  <w:style w:type="paragraph" w:styleId="1">
    <w:name w:val="heading 1"/>
    <w:uiPriority w:val="9"/>
    <w:qFormat/>
    <w:pPr>
      <w:spacing w:before="320" w:after="120" w:line="360" w:lineRule="auto"/>
      <w:outlineLvl w:val="0"/>
    </w:pPr>
    <w:rPr>
      <w:rFonts w:ascii="Songti SC" w:hAnsi="Songti SC" w:eastAsia="Songti SC" w:cs="Songti SC" w:hint="eastAsia"/>
      <w:b/>
      <w:bCs/>
      <w:sz w:val="32"/>
      <w:szCs w:val="32"/>
      <w:lang w:val="en-US" w:eastAsia="zh-CN" w:bidi="en-US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rFonts w:ascii="Songti SC" w:hAnsi="Songti SC" w:eastAsia="Songti SC" w:cs="Songti SC" w:hint="eastAsia"/>
      <w:b/>
      <w:bCs/>
      <w:sz w:val="27"/>
      <w:szCs w:val="28"/>
      <w:lang w:val="en-US" w:eastAsia="zh-CN" w:bidi="en-US"/>
    </w:rPr>
  </w:style>
  <w:style w:type="paragraph" w:styleId="3">
    <w:name w:val="heading 3"/>
    <w:uiPriority w:val="9"/>
    <w:semiHidden/>
    <w:unhideWhenUsed/>
    <w:qFormat/>
    <w:pPr>
      <w:spacing w:line="360" w:lineRule="auto"/>
      <w:outlineLvl w:val="2"/>
    </w:pPr>
    <w:rPr>
      <w:rFonts w:ascii="Songti SC" w:hAnsi="Songti SC" w:eastAsia="Songti SC" w:cs="Songti SC" w:hint="eastAsia"/>
      <w:color w:val="1F4D78"/>
      <w:lang w:val="en-US" w:eastAsia="zh-CN" w:bidi="en-US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line="360" w:lineRule="auto"/>
    </w:pPr>
    <w:rPr>
      <w:rFonts w:ascii="Songti SC" w:hAnsi="Songti SC" w:eastAsia="Songti SC" w:cs="Songti SC" w:hint="eastAsia"/>
      <w:sz w:val="56"/>
      <w:szCs w:val="56"/>
      <w:lang w:val="en-US" w:eastAsia="zh-CN" w:bidi="en-US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2026-08-06T11:29:00Z</dcterms:created>
  <dcterms:modified xsi:type="dcterms:W3CDTF">2026-08-06T11:29:00Z</dcterms:modified>
</cp:coreProperties>
</file>