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 w:line="360" w:lineRule="auto"/>
        <w:jc w:val="center"/>
      </w:pPr>
      <w:r>
        <w:rPr>
          <w:rFonts w:ascii="Arial Unicode MS" w:hAnsi="Arial Unicode MS" w:eastAsia="Arial Unicode MS" w:cs="Arial Unicode MS" w:hint="eastAsia"/>
          <w:b/>
          <w:color w:val="000000"/>
          <w:sz w:val="56"/>
          <w:lang w:val="en-US" w:eastAsia="zh-CN" w:bidi="en-US"/>
        </w:rPr>
        <w:t>钢包重排评价指标调研进展</w:t>
      </w:r>
    </w:p>
    <w:p>
      <w:pPr>
        <w:spacing w:after="28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color w:val="1F4D78"/>
          <w:sz w:val="24"/>
          <w:lang w:val="en-US" w:eastAsia="zh-CN" w:bidi="en-US"/>
        </w:rPr>
        <w:t>本周结论：确定哪些指标适合作为方案评价标准</w:t>
      </w:r>
    </w:p>
    <w:p>
      <w:pPr>
        <w:spacing w:after="10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日期：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2026-09-08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 xml:space="preserve">    数据：</w:t>
      </w: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PLAN(1) / CRANE / loc_location</w:t>
      </w:r>
    </w:p>
    <w:p>
      <w:pPr>
        <w:spacing w:after="40"/>
      </w:pPr>
    </w:p>
    <w:p>
      <w:pPr>
        <w:pStyle w:val="1"/>
        <w:keepNext/>
        <w:spacing w:before="2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32"/>
          <w:lang w:val="en-US" w:eastAsia="zh-CN" w:bidi="en-US"/>
        </w:rPr>
        <w:t>1. 本周结论</w:t>
      </w:r>
    </w:p>
    <w:p>
      <w:pPr>
        <w:spacing w:after="100" w:line="36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本周完成了评价指标的筛选与真实数据回放验证。最终不采用简单加权总分，而采用“硬门槛 + 分层排序”：先判断方案能不能安全下发，再比较生产效果，最后用计划稳定性做平局裁决。这样可以避免“改配少”掩盖“方案不可执行”。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9500"/>
      </w:tblGrid>
      <w:tr>
        <w:tc>
          <w:tcPr>
            <w:tcW w:type="dxa" w:w="9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  <w:insideH w:val="single" w:sz="8" w:space="0" w:color="A7C6E2"/>
              <w:insideV w:val="single" w:sz="8" w:space="0" w:color="A7C6E2"/>
            </w:tcBorders>
            <w:shd w:fill="EAF3FA"/>
          </w:tcPr>
          <w:p>
            <w:pPr>
              <w:spacing w:after="100" w:line="36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  <w:lang w:val="en-US" w:eastAsia="zh-CN" w:bidi="en-US"/>
              </w:rPr>
              <w:t>已确定：</w:t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  <w:lang w:val="en-US" w:eastAsia="zh-CN" w:bidi="en-US"/>
              </w:rPr>
              <w:t>主评价指标为完整分配率、硬约束违反、资源/路线合法性、按时率、平均延迟和最大延迟；改配规模、窗口外影响和负载均衡作为稳定性补充指标。</w:t>
            </w:r>
          </w:p>
        </w:tc>
      </w:tr>
    </w:tbl>
    <w:p>
      <w:pPr>
        <w:spacing w:after="20"/>
      </w:pP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000"/>
        <w:gridCol w:w="470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  <w:lang w:val="en-US" w:eastAsia="zh-CN" w:bidi="en-US"/>
              </w:rPr>
              <w:t>层级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  <w:lang w:val="en-US" w:eastAsia="zh-CN" w:bidi="en-US"/>
              </w:rPr>
              <w:t>要回答的问题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8"/>
                <w:lang w:val="en-US" w:eastAsia="zh-CN" w:bidi="en-US"/>
              </w:rPr>
              <w:t>本周结论</w:t>
            </w:r>
          </w:p>
        </w:tc>
      </w:tr>
      <w:tr>
        <w:tc>
          <w:tcPr>
            <w:tcW w:type="dxa" w:w="18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第一层：可行性</w:t>
            </w:r>
          </w:p>
        </w:tc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方案能不能安全下发？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完整分配必须 100%；硬约束必须 0；资源与路线必须合法。</w:t>
            </w:r>
          </w:p>
        </w:tc>
      </w:tr>
      <w:tr>
        <w:tc>
          <w:tcPr>
            <w:tcW w:type="dxa" w:w="18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第二层：生产效果</w:t>
            </w:r>
          </w:p>
        </w:tc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可行方案谁更少延误？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按时率优先，其次平均延迟、最大延迟。</w:t>
            </w:r>
          </w:p>
        </w:tc>
      </w:tr>
      <w:tr>
        <w:tc>
          <w:tcPr>
            <w:tcW w:type="dxa" w:w="18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第三层：计划稳定性</w:t>
            </w:r>
          </w:p>
        </w:tc>
        <w:tc>
          <w:tcPr>
            <w:tcW w:type="dxa" w:w="3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效果接近时谁改动更小？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8"/>
                <w:lang w:val="en-US" w:eastAsia="zh-CN" w:bidi="en-US"/>
              </w:rPr>
              <w:t>比较 AP 基线改配、窗口外影响和资源负载。</w:t>
            </w:r>
          </w:p>
        </w:tc>
      </w:tr>
    </w:tbl>
    <w:p>
      <w:pPr>
        <w:spacing w:after="20"/>
      </w:pPr>
    </w:p>
    <w:p>
      <w:pPr>
        <w:pStyle w:val="1"/>
        <w:keepNext/>
        <w:spacing w:before="2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32"/>
          <w:lang w:val="en-US" w:eastAsia="zh-CN" w:bidi="en-US"/>
        </w:rPr>
        <w:t>2. 指标筛选方法</w:t>
      </w:r>
    </w:p>
    <w:p>
      <w:pPr>
        <w:pStyle w:val="2"/>
        <w:keepNext/>
        <w:spacing w:before="1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7"/>
          <w:lang w:val="en-US" w:eastAsia="zh-CN" w:bidi="en-US"/>
        </w:rPr>
        <w:t>2.1 为什么不使用综合总分</w:t>
      </w:r>
    </w:p>
    <w:p>
      <w:pPr>
        <w:spacing w:after="100" w:line="36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钢包重排首先是一个安全可行性问题，不是单纯的成本优化问题。若某方案少改了几炉，但有一炉没有合法钢包、行车或路线，就不能因为加权分数较高而被下发。因此，评价顺序固定为：可行性门槛 → 生产效果 → 稳定性。任一方案未通过第一层，直接淘汰；两方都未通过时转人工复核。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360" w:lineRule="auto"/>
        <w:jc w:val="center"/>
      </w:pPr>
      <w:r>
        <w:rPr>
          <w:rFonts w:ascii="Arial Unicode MS" w:hAnsi="Arial Unicode MS" w:eastAsia="Arial Unicode MS" w:cs="Arial Unicode MS" w:hint="eastAsia"/>
          <w:b w:val="0"/>
          <w:color w:val="666666"/>
          <w:sz w:val="18"/>
          <w:lang w:val="en-US" w:eastAsia="zh-CN" w:bidi="en-US"/>
        </w:rPr>
        <w:t>图 1  本周确定的三层评价逻辑</w:t>
      </w:r>
    </w:p>
    <w:p>
      <w:pPr>
        <w:pStyle w:val="2"/>
        <w:keepNext/>
        <w:spacing w:before="1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7"/>
          <w:lang w:val="en-US" w:eastAsia="zh-CN" w:bidi="en-US"/>
        </w:rPr>
        <w:t>2.2 推荐指标清单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1900"/>
        <w:gridCol w:w="1900"/>
        <w:gridCol w:w="1550"/>
        <w:gridCol w:w="1450"/>
        <w:gridCol w:w="145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5"/>
                <w:lang w:val="en-US" w:eastAsia="zh-CN" w:bidi="en-US"/>
              </w:rPr>
              <w:t>指标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5"/>
                <w:lang w:val="en-US" w:eastAsia="zh-CN" w:bidi="en-US"/>
              </w:rPr>
              <w:t>指标含义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5"/>
                <w:lang w:val="en-US" w:eastAsia="zh-CN" w:bidi="en-US"/>
              </w:rPr>
              <w:t>计算方式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5"/>
                <w:lang w:val="en-US" w:eastAsia="zh-CN" w:bidi="en-US"/>
              </w:rPr>
              <w:t>定位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5"/>
                <w:lang w:val="en-US" w:eastAsia="zh-CN" w:bidi="en-US"/>
              </w:rPr>
              <w:t>决策树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5"/>
                <w:lang w:val="en-US" w:eastAsia="zh-CN" w:bidi="en-US"/>
              </w:rPr>
              <w:t>Codex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完整分配率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能否覆盖窗口内全部炉次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已分配炉次 / 窗口炉次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主指标；必须 100%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30/31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31/31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硬约束违反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资源、时间、位置、路线与安全规则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违规项计数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主指标；必须 0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1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0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资源/路线合法性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钢包、行车存在且路线可达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逐炉校验资源与路线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主指标；任一失败淘汰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有失败项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全部通过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按时率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窗口结束前完成运输的比例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按时炉次 / 窗口炉次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主指标；越高越好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96.77%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100.00%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平均延迟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超出时间窗的平均时长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平均 max(实际到达 - 窗口结束, 0)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主指标；越低越好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2655.6 秒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0.0 秒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最大延迟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最晚一炉的超时程度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max(单炉延迟)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主指标；越低越好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82325 秒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0 秒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相对 AP 改配炉次数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相对预配基线改变的炉次数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逐炉比较钢包/行车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补充；效果接近时越少越好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29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3（28 炉保留）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窗口外改配炉次数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是否影响已完成和远期炉次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统计扰动窗口外的变化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补充；必须 0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0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0</w:t>
            </w:r>
          </w:p>
        </w:tc>
      </w:tr>
      <w:tr>
        <w:tc>
          <w:tcPr>
            <w:tcW w:type="dxa" w:w="12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资源负载均衡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方案对各行车负载的影响</w:t>
            </w:r>
          </w:p>
        </w:tc>
        <w:tc>
          <w:tcPr>
            <w:tcW w:type="dxa" w:w="19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负载方差或最大-最小差</w:t>
            </w:r>
          </w:p>
        </w:tc>
        <w:tc>
          <w:tcPr>
            <w:tcW w:type="dxa" w:w="15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补充；效果接近时比较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待补充汇总</w:t>
            </w:r>
          </w:p>
        </w:tc>
        <w:tc>
          <w:tcPr>
            <w:tcW w:type="dxa" w:w="145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5"/>
                <w:lang w:val="en-US" w:eastAsia="zh-CN" w:bidi="en-US"/>
              </w:rPr>
              <w:t>待补充汇总</w:t>
            </w:r>
          </w:p>
        </w:tc>
      </w:tr>
    </w:tbl>
    <w:p>
      <w:pPr>
        <w:spacing w:after="20"/>
      </w:pPr>
    </w:p>
    <w:p>
      <w:pPr>
        <w:pStyle w:val="1"/>
        <w:keepNext/>
        <w:spacing w:before="2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32"/>
          <w:lang w:val="en-US" w:eastAsia="zh-CN" w:bidi="en-US"/>
        </w:rPr>
        <w:t>3. 真实数据验证</w:t>
      </w:r>
    </w:p>
    <w:p>
      <w:pPr>
        <w:spacing w:after="100" w:line="36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验证采用真实 PLAN(1)、CRANE 和 loc_location 快照。以 11:00 行车 2500 受控离线为扰动输入，只打开 11:00–11:20 的局部窗口，共 31 炉；已完成炉次和远期炉次不参与重排。该场景是基于真实数据构造的可复现压力回放，不是宝钢历史事故日志。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600"/>
        <w:gridCol w:w="470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验证项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结果</w:t>
            </w:r>
          </w:p>
        </w:tc>
        <w:tc>
          <w:tcPr>
            <w:tcW w:type="dxa" w:w="4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对指标筛选的意义</w:t>
            </w:r>
          </w:p>
        </w:tc>
      </w:tr>
      <w:tr>
        <w:tc>
          <w:tcPr>
            <w:tcW w:type="dxa" w:w="22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数据规模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PLAN 469 行；纳入评测 457 炉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具备完整的基线和资源快照，可计算覆盖率与改配规模。</w:t>
            </w:r>
          </w:p>
        </w:tc>
      </w:tr>
      <w:tr>
        <w:tc>
          <w:tcPr>
            <w:tcW w:type="dxa" w:w="22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局部扰动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窗口 31 炉；行车 2500 离线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能验证局部性和窗口外不扩散。</w:t>
            </w:r>
          </w:p>
        </w:tc>
      </w:tr>
      <w:tr>
        <w:tc>
          <w:tcPr>
            <w:tcW w:type="dxa" w:w="22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决策树重排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30/31；规则违反 1 项；按时率 96.77%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证明仅看改配数量不够，必须保留硬门槛。</w:t>
            </w:r>
          </w:p>
        </w:tc>
      </w:tr>
      <w:tr>
        <w:tc>
          <w:tcPr>
            <w:tcW w:type="dxa" w:w="22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Codex 重排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31/31；规则违反 0；按时率 100%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证明完整性、硬约束和生产效果可以区分两条线路。</w:t>
            </w:r>
          </w:p>
        </w:tc>
      </w:tr>
      <w:tr>
        <w:tc>
          <w:tcPr>
            <w:tcW w:type="dxa" w:w="22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计划稳定性</w:t>
            </w:r>
          </w:p>
        </w:tc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Codex 改配 3 炉；28 炉保留 AP 基线</w:t>
            </w:r>
          </w:p>
        </w:tc>
        <w:tc>
          <w:tcPr>
            <w:tcW w:type="dxa" w:w="4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改配规模适合作为可行方案之间的次级比较项。</w:t>
            </w:r>
          </w:p>
        </w:tc>
      </w:tr>
    </w:tbl>
    <w:p>
      <w:pPr>
        <w:spacing w:after="20"/>
      </w:pP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9500"/>
      </w:tblGrid>
      <w:tr>
        <w:tc>
          <w:tcPr>
            <w:tcW w:type="dxa" w:w="9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  <w:insideH w:val="single" w:sz="8" w:space="0" w:color="A7C6E2"/>
              <w:insideV w:val="single" w:sz="8" w:space="0" w:color="A7C6E2"/>
            </w:tcBorders>
            <w:shd w:fill="F1F6FB"/>
          </w:tcPr>
          <w:p>
            <w:pPr>
              <w:spacing w:after="100" w:line="36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  <w:lang w:val="en-US" w:eastAsia="zh-CN" w:bidi="en-US"/>
              </w:rPr>
              <w:t>本次证据：</w:t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  <w:lang w:val="en-US" w:eastAsia="zh-CN" w:bidi="en-US"/>
              </w:rPr>
              <w:t>决策树方案在第一层就因 30/31 且有 1 项规则违反被淘汰；Codex 方案进入第二、三层比较并通过终检。该结果支持评价顺序，但不代表单一场景足以估计长期成功率。</w:t>
            </w:r>
          </w:p>
        </w:tc>
      </w:tr>
    </w:tbl>
    <w:p>
      <w:pPr>
        <w:spacing w:after="20"/>
      </w:pPr>
    </w:p>
    <w:p>
      <w:pPr>
        <w:pStyle w:val="2"/>
        <w:keepNext/>
        <w:spacing w:before="1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7"/>
          <w:lang w:val="en-US" w:eastAsia="zh-CN" w:bidi="en-US"/>
        </w:rPr>
        <w:t>3.1 LLM 兜底价值如何评价</w:t>
      </w:r>
    </w:p>
    <w:p>
      <w:pPr>
        <w:spacing w:after="100" w:line="36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Codex 的价值不是在所有炉次上替代决策树，而是在决策树无法完成局部重排时提供第二条可审计线路。因此，LLM 相关指标应跨场景统计，而不是从一次回放推导结论。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4000"/>
        <w:gridCol w:w="2700"/>
      </w:tblGrid>
      <w:tr>
        <w:trPr>
          <w:tblHeader w:val="true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en-US" w:eastAsia="zh-CN" w:bidi="en-US"/>
              </w:rPr>
              <w:t>LLM 价值指标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en-US" w:eastAsia="zh-CN" w:bidi="en-US"/>
              </w:rPr>
              <w:t>建议定义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6"/>
                <w:lang w:val="en-US" w:eastAsia="zh-CN" w:bidi="en-US"/>
              </w:rPr>
              <w:t>当前状态</w:t>
            </w:r>
          </w:p>
        </w:tc>
      </w:tr>
      <w:tr>
        <w:tc>
          <w:tcPr>
            <w:tcW w:type="dxa" w:w="28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决策树失败后 Codex 成功率</w:t>
            </w:r>
          </w:p>
        </w:tc>
        <w:tc>
          <w:tcPr>
            <w:tcW w:type="dxa" w:w="4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决策树失败场景中，Codex 通过全部终检的比例</w:t>
            </w:r>
          </w:p>
        </w:tc>
        <w:tc>
          <w:tcPr>
            <w:tcW w:type="dxa" w:w="2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适合纳入；场景库已有 20 条压力场景</w:t>
            </w:r>
          </w:p>
        </w:tc>
      </w:tr>
      <w:tr>
        <w:tc>
          <w:tcPr>
            <w:tcW w:type="dxa" w:w="28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人工升级减少率</w:t>
            </w:r>
          </w:p>
        </w:tc>
        <w:tc>
          <w:tcPr>
            <w:tcW w:type="dxa" w:w="4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相对决策树直接升级人工，Codex 成功接管的比例</w:t>
            </w:r>
          </w:p>
        </w:tc>
        <w:tc>
          <w:tcPr>
            <w:tcW w:type="dxa" w:w="2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适合纳入；需补齐人工升级基线</w:t>
            </w:r>
          </w:p>
        </w:tc>
      </w:tr>
      <w:tr>
        <w:tc>
          <w:tcPr>
            <w:tcW w:type="dxa" w:w="28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在线决策耗时 / P95</w:t>
            </w:r>
          </w:p>
        </w:tc>
        <w:tc>
          <w:tcPr>
            <w:tcW w:type="dxa" w:w="4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从事件到可审计方案的真实端到端耗时</w:t>
            </w:r>
          </w:p>
        </w:tc>
        <w:tc>
          <w:tcPr>
            <w:tcW w:type="dxa" w:w="2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适合纳入；当前离线 decision_seconds 不作结论</w:t>
            </w:r>
          </w:p>
        </w:tc>
      </w:tr>
      <w:tr>
        <w:tc>
          <w:tcPr>
            <w:tcW w:type="dxa" w:w="28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输出可审计性</w:t>
            </w:r>
          </w:p>
        </w:tc>
        <w:tc>
          <w:tcPr>
            <w:tcW w:type="dxa" w:w="40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是否记录输入快照、约束检查、方案和终检结果</w:t>
            </w:r>
          </w:p>
        </w:tc>
        <w:tc>
          <w:tcPr>
            <w:tcW w:type="dxa" w:w="27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6"/>
                <w:lang w:val="en-US" w:eastAsia="zh-CN" w:bidi="en-US"/>
              </w:rPr>
              <w:t>作为交付要求，不与生产效果合并打分</w:t>
            </w:r>
          </w:p>
        </w:tc>
      </w:tr>
    </w:tbl>
    <w:p>
      <w:pPr>
        <w:spacing w:after="20"/>
      </w:pPr>
    </w:p>
    <w:p>
      <w:pPr>
        <w:pStyle w:val="1"/>
        <w:keepNext/>
        <w:spacing w:before="2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32"/>
          <w:lang w:val="en-US" w:eastAsia="zh-CN" w:bidi="en-US"/>
        </w:rPr>
        <w:t>4. 暂不作为主指标的项目</w:t>
      </w:r>
    </w:p>
    <w:p>
      <w:pPr>
        <w:spacing w:after="100" w:line="36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以下字段不是没有价值，而是当前数据或实验条件不足以支撑主评价结论。先标记为暂缓，可以避免报告给出超过证据边界的判断。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4500"/>
        <w:gridCol w:w="240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暂缓指标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暂缓原因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后续补充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单次离线决策耗时</w:t>
            </w:r>
          </w:p>
        </w:tc>
        <w:tc>
          <w:tcPr>
            <w:tcW w:type="dxa" w:w="4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离线执行的 0 秒不等于真实 API 延迟</w:t>
            </w:r>
          </w:p>
        </w:tc>
        <w:tc>
          <w:tcPr>
            <w:tcW w:type="dxa" w:w="2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接入真实接口，记录平均值和 P95/P99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人工复核率</w:t>
            </w:r>
          </w:p>
        </w:tc>
        <w:tc>
          <w:tcPr>
            <w:tcW w:type="dxa" w:w="4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当前场景库没有现场人工处理时长和升级记录</w:t>
            </w:r>
          </w:p>
        </w:tc>
        <w:tc>
          <w:tcPr>
            <w:tcW w:type="dxa" w:w="2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建立人工基线与升级日志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资源负载方差</w:t>
            </w:r>
          </w:p>
        </w:tc>
        <w:tc>
          <w:tcPr>
            <w:tcW w:type="dxa" w:w="4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当前双线路审计尚未统一汇总各行车负载</w:t>
            </w:r>
          </w:p>
        </w:tc>
        <w:tc>
          <w:tcPr>
            <w:tcW w:type="dxa" w:w="2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按窗口和全天分别统计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包龄利用率、等级匹配率</w:t>
            </w:r>
          </w:p>
        </w:tc>
        <w:tc>
          <w:tcPr>
            <w:tcW w:type="dxa" w:w="4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更适合预配包质量；扰动重排缺少现场状态校准</w:t>
            </w:r>
          </w:p>
        </w:tc>
        <w:tc>
          <w:tcPr>
            <w:tcW w:type="dxa" w:w="2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补充钢包状态、等级和包龄真值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简单综合评分</w:t>
            </w:r>
          </w:p>
        </w:tc>
        <w:tc>
          <w:tcPr>
            <w:tcW w:type="dxa" w:w="4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会让低改配掩盖不可行方案，解释性也较弱</w:t>
            </w:r>
          </w:p>
        </w:tc>
        <w:tc>
          <w:tcPr>
            <w:tcW w:type="dxa" w:w="2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保留分层排序，不作为主判定</w:t>
            </w:r>
          </w:p>
        </w:tc>
      </w:tr>
    </w:tbl>
    <w:p>
      <w:pPr>
        <w:spacing w:after="20"/>
      </w:pPr>
    </w:p>
    <w:p>
      <w:pPr>
        <w:pStyle w:val="2"/>
        <w:keepNext/>
        <w:spacing w:before="1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27"/>
          <w:lang w:val="en-US" w:eastAsia="zh-CN" w:bidi="en-US"/>
        </w:rPr>
        <w:t>4.1 场景覆盖情况</w:t>
      </w:r>
    </w:p>
    <w:p>
      <w:pPr>
        <w:spacing w:after="100" w:line="36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离线场景库共 21 条：1 条决策树成功对照、20 条决策树失败后 Codex 成功的压力场景。扰动覆盖 compound 1 条；data_control 1 条；equipment 5 条；ladle 5 条；logistics_safety 1 条；plan_timing 5 条；process_facility 3 条。这些场景用于验证指标和兜底链路的可计算性，不能替代现场事故统计。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9500"/>
      </w:tblGrid>
      <w:tr>
        <w:tc>
          <w:tcPr>
            <w:tcW w:type="dxa" w:w="9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8" w:space="0" w:color="A7C6E2"/>
              <w:left w:val="single" w:sz="8" w:space="0" w:color="A7C6E2"/>
              <w:bottom w:val="single" w:sz="8" w:space="0" w:color="A7C6E2"/>
              <w:right w:val="single" w:sz="8" w:space="0" w:color="A7C6E2"/>
              <w:insideH w:val="single" w:sz="8" w:space="0" w:color="A7C6E2"/>
              <w:insideV w:val="single" w:sz="8" w:space="0" w:color="A7C6E2"/>
            </w:tcBorders>
            <w:shd w:fill="F1F6FB"/>
          </w:tcPr>
          <w:p>
            <w:pPr>
              <w:spacing w:after="100" w:line="360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  <w:lang w:val="en-US" w:eastAsia="zh-CN" w:bidi="en-US"/>
              </w:rPr>
              <w:t>评价口径：</w:t>
            </w: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20"/>
                <w:lang w:val="en-US" w:eastAsia="zh-CN" w:bidi="en-US"/>
              </w:rPr>
              <w:t>推荐顺序固定为：完整性 → 硬约束 → 按时率 → 平均延迟 → 最大延迟 → 改配规模 → 负载均衡。若两套方案均未过硬门槛，则不比较总分，直接人工复核。</w:t>
            </w:r>
          </w:p>
        </w:tc>
      </w:tr>
    </w:tbl>
    <w:p>
      <w:pPr>
        <w:spacing w:after="20"/>
      </w:pPr>
    </w:p>
    <w:p>
      <w:pPr>
        <w:pStyle w:val="1"/>
        <w:keepNext/>
        <w:spacing w:before="280" w:after="100"/>
      </w:pPr>
      <w:r>
        <w:rPr>
          <w:rFonts w:ascii="Arial Unicode MS" w:hAnsi="Arial Unicode MS" w:eastAsia="Arial Unicode MS" w:cs="Arial Unicode MS" w:hint="eastAsia"/>
          <w:b/>
          <w:color w:val="000000"/>
          <w:sz w:val="32"/>
          <w:lang w:val="en-US" w:eastAsia="zh-CN" w:bidi="en-US"/>
        </w:rPr>
        <w:t>5. 下一步调研计划</w:t>
      </w:r>
    </w:p>
    <w:tbl>
      <w:tblPr>
        <w:tblW w:type="dxa" w:w="950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4400"/>
        <w:gridCol w:w="250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工作项</w:t>
            </w:r>
          </w:p>
        </w:tc>
        <w:tc>
          <w:tcPr>
            <w:tcW w:type="dxa" w:w="4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目的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shd w:fill="1F4D78"/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FFFFFF"/>
                <w:sz w:val="17"/>
                <w:lang w:val="en-US" w:eastAsia="zh-CN" w:bidi="en-US"/>
              </w:rPr>
              <w:t>输出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补齐现场状态字段</w:t>
            </w:r>
          </w:p>
        </w:tc>
        <w:tc>
          <w:tcPr>
            <w:tcW w:type="dxa" w:w="4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统一钢包状态、位置、路线、设备联锁和包龄口径</w:t>
            </w:r>
          </w:p>
        </w:tc>
        <w:tc>
          <w:tcPr>
            <w:tcW w:type="dxa" w:w="2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可复现实验快照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建立多场景对照集</w:t>
            </w:r>
          </w:p>
        </w:tc>
        <w:tc>
          <w:tcPr>
            <w:tcW w:type="dxa" w:w="4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让决策树成功、失败和人工升级都有基线</w:t>
            </w:r>
          </w:p>
        </w:tc>
        <w:tc>
          <w:tcPr>
            <w:tcW w:type="dxa" w:w="2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按场景统计成功率与 P95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接入真实 LLM 接口计时</w:t>
            </w:r>
          </w:p>
        </w:tc>
        <w:tc>
          <w:tcPr>
            <w:tcW w:type="dxa" w:w="4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测量 90 秒安全预算内是否可完成</w:t>
            </w:r>
          </w:p>
        </w:tc>
        <w:tc>
          <w:tcPr>
            <w:tcW w:type="dxa" w:w="2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平均耗时、P95、超时率</w:t>
            </w:r>
          </w:p>
        </w:tc>
      </w:tr>
      <w:tr>
        <w:tc>
          <w:tcPr>
            <w:tcW w:type="dxa" w:w="26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形成验收规则</w:t>
            </w:r>
          </w:p>
        </w:tc>
        <w:tc>
          <w:tcPr>
            <w:tcW w:type="dxa" w:w="44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将硬门槛和分层排序固化到审计与 Excel 输出</w:t>
            </w:r>
          </w:p>
        </w:tc>
        <w:tc>
          <w:tcPr>
            <w:tcW w:type="dxa" w:w="2500"/>
            <w:tcBorders>
              <w:top w:val="single" w:sz="6" w:space="0" w:color="C6D6E5"/>
              <w:left w:val="single" w:sz="6" w:space="0" w:color="C6D6E5"/>
              <w:bottom w:val="single" w:sz="6" w:space="0" w:color="C6D6E5"/>
              <w:right w:val="single" w:sz="6" w:space="0" w:color="C6D6E5"/>
              <w:insideH w:val="single" w:sz="6" w:space="0" w:color="C6D6E5"/>
              <w:insideV w:val="single" w:sz="6" w:space="0" w:color="C6D6E5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100" w:line="36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000000"/>
                <w:sz w:val="17"/>
                <w:lang w:val="en-US" w:eastAsia="zh-CN" w:bidi="en-US"/>
              </w:rPr>
              <w:t>自动评价报告</w:t>
            </w:r>
          </w:p>
        </w:tc>
      </w:tr>
    </w:tbl>
    <w:p>
      <w:pPr>
        <w:spacing w:after="20"/>
      </w:pPr>
    </w:p>
    <w:p>
      <w:pPr>
        <w:spacing w:after="100" w:line="360" w:lineRule="auto"/>
      </w:pPr>
      <w:r>
        <w:rPr>
          <w:rFonts w:ascii="Arial Unicode MS" w:hAnsi="Arial Unicode MS" w:eastAsia="Arial Unicode MS" w:cs="Arial Unicode MS" w:hint="eastAsia"/>
          <w:b w:val="0"/>
          <w:color w:val="000000"/>
          <w:sz w:val="21"/>
          <w:lang w:val="en-US" w:eastAsia="zh-CN" w:bidi="en-US"/>
        </w:rPr>
        <w:t>本周产出是评价体系的初版口径：先保证方案可用，再比较效果，最后控制改动。后续随着现场事件和人工处理数据补齐，可把 LLM 兜底成功率、人工减少率和真实时延纳入正式验收。</w:t>
      </w:r>
    </w:p>
    <w:sectPr w:rsidR="00E8281C">
      <w:headerReference w:type="default" r:id="rId11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6B73" w:rsidRDefault="00426B73">
      <w:pPr>
        <w:rPr>
          <w:rFonts w:hint="default"/>
        </w:rPr>
      </w:pPr>
      <w:r>
        <w:separator/>
      </w:r>
    </w:p>
  </w:endnote>
  <w:endnote w:type="continuationSeparator" w:id="0">
    <w:p w:rsidR="00426B73" w:rsidRDefault="00426B73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6B73" w:rsidRDefault="00426B73">
      <w:pPr>
        <w:rPr>
          <w:rFonts w:hint="default"/>
        </w:rPr>
      </w:pPr>
      <w:r>
        <w:separator/>
      </w:r>
    </w:p>
  </w:footnote>
  <w:footnote w:type="continuationSeparator" w:id="0">
    <w:p w:rsidR="00426B73" w:rsidRDefault="00426B73">
      <w:pPr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642E" w:rsidRDefault="00D8642E">
    <w:pPr>
      <w:jc w:val="center"/>
      <w:rPr>
        <w:rFonts w:hint="defau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64F2B"/>
    <w:multiLevelType w:val="hybridMultilevel"/>
    <w:tmpl w:val="C024B900"/>
    <w:lvl w:ilvl="0" w:tplc="EF3466C6">
      <w:start w:val="1"/>
      <w:numFmt w:val="bullet"/>
      <w:lvlText w:val="•"/>
      <w:lvlJc w:val="left"/>
      <w:pPr>
        <w:ind w:left="720" w:hanging="360"/>
      </w:pPr>
    </w:lvl>
    <w:lvl w:ilvl="1" w:tplc="2FCAC28E">
      <w:numFmt w:val="decimal"/>
      <w:lvlText w:val=""/>
      <w:lvlJc w:val="left"/>
    </w:lvl>
    <w:lvl w:ilvl="2" w:tplc="71F2BEEC">
      <w:numFmt w:val="decimal"/>
      <w:lvlText w:val=""/>
      <w:lvlJc w:val="left"/>
    </w:lvl>
    <w:lvl w:ilvl="3" w:tplc="E6E43E18">
      <w:numFmt w:val="decimal"/>
      <w:lvlText w:val=""/>
      <w:lvlJc w:val="left"/>
    </w:lvl>
    <w:lvl w:ilvl="4" w:tplc="9546102A">
      <w:numFmt w:val="decimal"/>
      <w:lvlText w:val=""/>
      <w:lvlJc w:val="left"/>
    </w:lvl>
    <w:lvl w:ilvl="5" w:tplc="A2AC2DC4">
      <w:numFmt w:val="decimal"/>
      <w:lvlText w:val=""/>
      <w:lvlJc w:val="left"/>
    </w:lvl>
    <w:lvl w:ilvl="6" w:tplc="1414C690">
      <w:numFmt w:val="decimal"/>
      <w:lvlText w:val=""/>
      <w:lvlJc w:val="left"/>
    </w:lvl>
    <w:lvl w:ilvl="7" w:tplc="26CCDEB4">
      <w:numFmt w:val="decimal"/>
      <w:lvlText w:val=""/>
      <w:lvlJc w:val="left"/>
    </w:lvl>
    <w:lvl w:ilvl="8" w:tplc="1A18754C">
      <w:numFmt w:val="decimal"/>
      <w:lvlText w:val=""/>
      <w:lvlJc w:val="left"/>
    </w:lvl>
  </w:abstractNum>
  <w:abstractNum w:abstractNumId="1" w15:restartNumberingAfterBreak="0">
    <w:nsid w:val="1B80418B"/>
    <w:multiLevelType w:val="hybridMultilevel"/>
    <w:tmpl w:val="627EE130"/>
    <w:lvl w:ilvl="0" w:tplc="A6C2E792">
      <w:start w:val="1"/>
      <w:numFmt w:val="decimal"/>
      <w:lvlText w:val="%1."/>
      <w:lvlJc w:val="left"/>
      <w:pPr>
        <w:ind w:left="720" w:hanging="360"/>
      </w:pPr>
    </w:lvl>
    <w:lvl w:ilvl="1" w:tplc="773255C4">
      <w:numFmt w:val="decimal"/>
      <w:lvlText w:val=""/>
      <w:lvlJc w:val="left"/>
    </w:lvl>
    <w:lvl w:ilvl="2" w:tplc="CA3E3C14">
      <w:numFmt w:val="decimal"/>
      <w:lvlText w:val=""/>
      <w:lvlJc w:val="left"/>
    </w:lvl>
    <w:lvl w:ilvl="3" w:tplc="31D66B3C">
      <w:numFmt w:val="decimal"/>
      <w:lvlText w:val=""/>
      <w:lvlJc w:val="left"/>
    </w:lvl>
    <w:lvl w:ilvl="4" w:tplc="36EA1E5E">
      <w:numFmt w:val="decimal"/>
      <w:lvlText w:val=""/>
      <w:lvlJc w:val="left"/>
    </w:lvl>
    <w:lvl w:ilvl="5" w:tplc="8782EC4A">
      <w:numFmt w:val="decimal"/>
      <w:lvlText w:val=""/>
      <w:lvlJc w:val="left"/>
    </w:lvl>
    <w:lvl w:ilvl="6" w:tplc="5F0E3542">
      <w:numFmt w:val="decimal"/>
      <w:lvlText w:val=""/>
      <w:lvlJc w:val="left"/>
    </w:lvl>
    <w:lvl w:ilvl="7" w:tplc="6BDC6460">
      <w:numFmt w:val="decimal"/>
      <w:lvlText w:val=""/>
      <w:lvlJc w:val="left"/>
    </w:lvl>
    <w:lvl w:ilvl="8" w:tplc="40345EAE">
      <w:numFmt w:val="decimal"/>
      <w:lvlText w:val=""/>
      <w:lvlJc w:val="left"/>
    </w:lvl>
  </w:abstractNum>
  <w:abstractNum w:abstractNumId="2" w15:restartNumberingAfterBreak="0">
    <w:nsid w:val="3BBC63B6"/>
    <w:multiLevelType w:val="hybridMultilevel"/>
    <w:tmpl w:val="2D021180"/>
    <w:lvl w:ilvl="0" w:tplc="DC2E5168">
      <w:start w:val="1"/>
      <w:numFmt w:val="bullet"/>
      <w:lvlText w:val="●"/>
      <w:lvlJc w:val="left"/>
      <w:pPr>
        <w:ind w:left="720" w:hanging="360"/>
      </w:pPr>
    </w:lvl>
    <w:lvl w:ilvl="1" w:tplc="52782A6A">
      <w:start w:val="1"/>
      <w:numFmt w:val="bullet"/>
      <w:lvlText w:val="○"/>
      <w:lvlJc w:val="left"/>
      <w:pPr>
        <w:ind w:left="1440" w:hanging="360"/>
      </w:pPr>
    </w:lvl>
    <w:lvl w:ilvl="2" w:tplc="7B62BEC8">
      <w:start w:val="1"/>
      <w:numFmt w:val="bullet"/>
      <w:lvlText w:val="■"/>
      <w:lvlJc w:val="left"/>
      <w:pPr>
        <w:ind w:left="2160" w:hanging="360"/>
      </w:pPr>
    </w:lvl>
    <w:lvl w:ilvl="3" w:tplc="9D8A33CE">
      <w:start w:val="1"/>
      <w:numFmt w:val="bullet"/>
      <w:lvlText w:val="●"/>
      <w:lvlJc w:val="left"/>
      <w:pPr>
        <w:ind w:left="2880" w:hanging="360"/>
      </w:pPr>
    </w:lvl>
    <w:lvl w:ilvl="4" w:tplc="E6D06D4E">
      <w:start w:val="1"/>
      <w:numFmt w:val="bullet"/>
      <w:lvlText w:val="○"/>
      <w:lvlJc w:val="left"/>
      <w:pPr>
        <w:ind w:left="3600" w:hanging="360"/>
      </w:pPr>
    </w:lvl>
    <w:lvl w:ilvl="5" w:tplc="AD42662E">
      <w:start w:val="1"/>
      <w:numFmt w:val="bullet"/>
      <w:lvlText w:val="■"/>
      <w:lvlJc w:val="left"/>
      <w:pPr>
        <w:ind w:left="4320" w:hanging="360"/>
      </w:pPr>
    </w:lvl>
    <w:lvl w:ilvl="6" w:tplc="53DA3C82">
      <w:start w:val="1"/>
      <w:numFmt w:val="bullet"/>
      <w:lvlText w:val="●"/>
      <w:lvlJc w:val="left"/>
      <w:pPr>
        <w:ind w:left="5040" w:hanging="360"/>
      </w:pPr>
    </w:lvl>
    <w:lvl w:ilvl="7" w:tplc="D7DA78F0">
      <w:start w:val="1"/>
      <w:numFmt w:val="bullet"/>
      <w:lvlText w:val="●"/>
      <w:lvlJc w:val="left"/>
      <w:pPr>
        <w:ind w:left="5760" w:hanging="360"/>
      </w:pPr>
    </w:lvl>
    <w:lvl w:ilvl="8" w:tplc="FB14D75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39D2901"/>
    <w:multiLevelType w:val="hybridMultilevel"/>
    <w:tmpl w:val="7B143DF6"/>
    <w:lvl w:ilvl="0" w:tplc="002E37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967785172">
    <w:abstractNumId w:val="2"/>
    <w:lvlOverride w:ilvl="0">
      <w:startOverride w:val="1"/>
    </w:lvlOverride>
  </w:num>
  <w:num w:numId="2" w16cid:durableId="1311902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42E"/>
    <w:rsid w:val="00010912"/>
    <w:rsid w:val="00053D5C"/>
    <w:rsid w:val="000A4D02"/>
    <w:rsid w:val="0014422E"/>
    <w:rsid w:val="00323B45"/>
    <w:rsid w:val="00426B73"/>
    <w:rsid w:val="006A35B7"/>
    <w:rsid w:val="00D8642E"/>
    <w:rsid w:val="00E8281C"/>
    <w:rsid w:val="00F3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F0FDCB"/>
  <w15:docId w15:val="{488500D1-6EFB-5644-BDE7-31FD26C0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</w:pPr>
    <w:rPr>
      <w:rFonts w:ascii="Arial Unicode MS" w:eastAsia="Arial Unicode MS" w:hAnsi="Arial Unicode MS" w:cs="Arial Unicode MS" w:hint="eastAsia"/>
      <w:sz w:val="21"/>
      <w:lang w:bidi="en-US" w:val="en-US" w:eastAsia="zh-CN"/>
    </w:rPr>
  </w:style>
  <w:style w:type="paragraph" w:styleId="1">
    <w:name w:val="heading 1"/>
    <w:uiPriority w:val="9"/>
    <w:qFormat/>
    <w:pPr>
      <w:spacing w:before="320" w:after="120" w:line="360" w:lineRule="auto"/>
      <w:outlineLvl w:val="0"/>
    </w:pPr>
    <w:rPr>
      <w:rFonts w:ascii="Arial Unicode MS" w:eastAsia="Arial Unicode MS" w:hAnsi="Arial Unicode MS" w:cs="Arial Unicode MS" w:hint="eastAsia"/>
      <w:b/>
      <w:bCs/>
      <w:sz w:val="32"/>
      <w:szCs w:val="32"/>
      <w:lang w:bidi="en-US" w:val="en-US" w:eastAsia="zh-CN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rFonts w:ascii="Arial Unicode MS" w:eastAsia="Arial Unicode MS" w:hAnsi="Arial Unicode MS" w:cs="Arial Unicode MS" w:hint="eastAsia"/>
      <w:b/>
      <w:bCs/>
      <w:sz w:val="27"/>
      <w:szCs w:val="28"/>
      <w:lang w:bidi="en-US" w:val="en-US" w:eastAsia="zh-CN"/>
    </w:rPr>
  </w:style>
  <w:style w:type="paragraph" w:styleId="3">
    <w:name w:val="heading 3"/>
    <w:uiPriority w:val="9"/>
    <w:semiHidden/>
    <w:unhideWhenUsed/>
    <w:qFormat/>
    <w:pPr>
      <w:spacing w:line="360" w:lineRule="auto"/>
      <w:outlineLvl w:val="2"/>
    </w:pPr>
    <w:rPr>
      <w:rFonts w:ascii="Arial Unicode MS" w:eastAsia="Arial Unicode MS" w:hAnsi="Arial Unicode MS" w:cs="Arial Unicode MS" w:hint="eastAsia"/>
      <w:color w:val="1F4D78"/>
      <w:lang w:bidi="en-US" w:val="en-US" w:eastAsia="zh-CN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line="360" w:lineRule="auto"/>
    </w:pPr>
    <w:rPr>
      <w:rFonts w:ascii="Arial Unicode MS" w:eastAsia="Arial Unicode MS" w:hAnsi="Arial Unicode MS" w:cs="Arial Unicode MS" w:hint="eastAsia"/>
      <w:sz w:val="56"/>
      <w:szCs w:val="56"/>
      <w:lang w:bidi="en-US" w:val="en-US" w:eastAsia="zh-CN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442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4422E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4422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442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2026-09-01T07:11:00Z</dcterms:created>
  <dcterms:modified xsi:type="dcterms:W3CDTF">2026-09-01T07:11:00Z</dcterms:modified>
</cp:coreProperties>
</file>