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200"/>
      </w:pPr>
      <w:r>
        <w:drawing>
          <wp:inline distT="0" distB="0" distL="0" distR="0">
            <wp:extent cx="1645920" cy="367589"/>
            <wp:effectExtent l="0" t="0" r="0" b="0"/>
            <wp:docPr id="1" name="Transparentní Vyškov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logo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36758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Nadtitul"/>
      </w:pPr>
      <w:r>
        <w:t xml:space="preserve">VOLEBNÍ PROGRAM 2026–2030</w:t>
      </w:r>
    </w:p>
    <w:p>
      <w:pPr>
        <w:pStyle w:val="Title"/>
      </w:pPr>
      <w:r>
        <w:t xml:space="preserve">Dostupné bydlení a výstavba</w:t>
      </w:r>
    </w:p>
    <w:p>
      <w:pPr>
        <w:pStyle w:val="Perex"/>
      </w:pPr>
      <w:r>
        <w:t xml:space="preserve">Bydlení ve Vyškově — je nutné jednat</w:t>
      </w:r>
    </w:p>
    <w:p>
      <w:r>
        <w:t xml:space="preserve">Ve Vyškově se staví stovky nových bytů, ale město (mnohdy ani obyvatelé města) z nich nemá skoro nic. Silnice kolem nových projektů kolabují, ve školkách chybí místa a mladé vyškovské rodiny raději odcházejí do okolních obcí, protože si zde bydlení nemohou dovolit a jinde je příjemnější. To musíme zastavit.</w:t>
      </w:r>
    </w:p>
    <w:p>
      <w:r>
        <w:t xml:space="preserve">Město tak podporuje rozvoj, ze kterého těží především soukromí investoři.</w:t>
      </w:r>
    </w:p>
    <w:p>
      <w:r>
        <w:t xml:space="preserve">Dnes si mladá rodina ve Vyškově na vlastní bydlení nedosáhne. A nájem je podobný problém. Bydlení je základ spokojenosti, nikoli jen komodita pro investory. Naším cílem je, aby si ve Vyškově mohli dovolit bydlet mladí lidé, klíčové profese, rodiny s dětmi, střední třída — všichni tvoří živé město.</w:t>
      </w:r>
    </w:p>
    <w:p>
      <w:r>
        <w:t xml:space="preserve">Městský bytový fond Vyškova je nedostatečně transparentní a spravovaný bez jasných pravidel. Privatizace obecních bytů v minulých obdobích zúžila prostor pro aktivní bytovou politiku města. Volební období 2026–2030 je klíčovou příležitostí tento trend otočit — a to nikoli ambiciózními centrálními projekty, ale kroky opřenými o osvědčené vzory z jiných moravských měst.</w:t>
      </w:r>
    </w:p>
    <w:p>
      <w:r>
        <w:t xml:space="preserve">Stavíme na transparentnosti a předvídatelnosti — jasná pravidla platí pro všechny, ať jsou to nájemníci obecních bytů nebo soukromí developeři. Vyvážíme ziskové modely bytové výstavby se sociálními a komunitními formami bydlení. Maximálně využijeme existující státní a krajské nástroje a nenecháme dotační příležitosti ležet ladem.</w:t>
      </w:r>
    </w:p>
    <w:p>
      <w:pPr>
        <w:pStyle w:val="Heading2"/>
      </w:pPr>
      <w:r>
        <w:t xml:space="preserve">Naše priority — 6 kroků ke změně</w:t>
      </w:r>
    </w:p>
    <w:p>
      <w:pPr>
        <w:pStyle w:val="Heading3"/>
      </w:pPr>
      <w:r>
        <w:t xml:space="preserve">Transparentní správa městských bytů</w:t>
      </w:r>
    </w:p>
    <w:p>
      <w:r>
        <w:t xml:space="preserve">Konec nepřehledného hospodaření. Zavedeme férová pravidla pro přidělování městských bytů. Každý občan bude vědět, kolik bytů město má, v jakém jsou stavu a jak se přidělují.</w:t>
      </w:r>
    </w:p>
    <w:p>
      <w:pPr>
        <w:pStyle w:val="ListParagraph"/>
        <w:numPr>
          <w:ilvl w:val="0"/>
          <w:numId w:val="1"/>
        </w:numPr>
      </w:pPr>
      <w:r>
        <w:t xml:space="preserve">Veřejná pravidla přidělování: bodové hodnocení, zveřejněné pořadníky, jasná kritéria (délka čekání, sociální situace, profese).</w:t>
      </w:r>
    </w:p>
    <w:p>
      <w:pPr>
        <w:pStyle w:val="ListParagraph"/>
        <w:numPr>
          <w:ilvl w:val="0"/>
          <w:numId w:val="1"/>
        </w:numPr>
      </w:pPr>
      <w:r>
        <w:t xml:space="preserve">Obecní nájemní standard: nastavíme tak, aby nájem nebyl pro rodiny likvidační. Zajistíme, že nájem nepřekročí rozumnou část jejich příjmu.</w:t>
      </w:r>
    </w:p>
    <w:p>
      <w:pPr>
        <w:pStyle w:val="ListParagraph"/>
        <w:numPr>
          <w:ilvl w:val="0"/>
          <w:numId w:val="1"/>
        </w:numPr>
      </w:pPr>
      <w:r>
        <w:t xml:space="preserve">Online přehled bytového fondu: počet, stav, obsazenost, výše nájmů — vše přístupné na webu města. Každoroční zpráva zastupitelstvu o hospodaření s obecními byty.</w:t>
      </w:r>
    </w:p>
    <w:p>
      <w:pPr>
        <w:pStyle w:val="Heading3"/>
      </w:pPr>
      <w:r>
        <w:t xml:space="preserve">Rozšiřování obecního bytového fondu</w:t>
      </w:r>
    </w:p>
    <w:p>
      <w:r>
        <w:t xml:space="preserve">Zastavíme úbytek obecních bytů a začneme fond aktivně budovat — s využitím dostupných státních programů.</w:t>
      </w:r>
    </w:p>
    <w:p>
      <w:pPr>
        <w:pStyle w:val="ListParagraph"/>
        <w:numPr>
          <w:ilvl w:val="0"/>
          <w:numId w:val="1"/>
        </w:numPr>
      </w:pPr>
      <w:r>
        <w:t xml:space="preserve">Stop rozprodávání: město nesmí dál přicházet o byty — každá výjimka musí projít veřejnou diskusí.</w:t>
      </w:r>
    </w:p>
    <w:p>
      <w:pPr>
        <w:pStyle w:val="ListParagraph"/>
        <w:numPr>
          <w:ilvl w:val="0"/>
          <w:numId w:val="1"/>
        </w:numPr>
      </w:pPr>
      <w:r>
        <w:t xml:space="preserve">Výkup a rekonstrukce: identifikace prázdných nebo nevyužitých objektů vhodných pro nájemní bydlení (opuštěné školy, administrativní budovy).</w:t>
      </w:r>
    </w:p>
    <w:p>
      <w:pPr>
        <w:pStyle w:val="ListParagraph"/>
        <w:numPr>
          <w:ilvl w:val="0"/>
          <w:numId w:val="1"/>
        </w:numPr>
      </w:pPr>
      <w:r>
        <w:t xml:space="preserve">Program SFPI — Dostupné nájemní bydlení: dotace 25–40 % + zvýhodněný úvěr 1–3 % p. a. na 30 let. Jihomoravský kraj čerpá aktivně: 54 projektů, 4,57 mld. Kč, 1 111 nových bytů. Menší obce jsou prioritou — Vyškov může rovněž žádat.</w:t>
      </w:r>
    </w:p>
    <w:p>
      <w:pPr>
        <w:pStyle w:val="ListParagraph"/>
        <w:numPr>
          <w:ilvl w:val="0"/>
          <w:numId w:val="1"/>
        </w:numPr>
      </w:pPr>
      <w:r>
        <w:t xml:space="preserve">Bezplatné poradenství Obec ON: využití sítě SFPI, regionální centrum v Jihomoravském kraji (JINAG). Obce s poradenstvím zpracovávají projekty násobně rychleji.</w:t>
      </w:r>
    </w:p>
    <w:p>
      <w:pPr>
        <w:pStyle w:val="Heading3"/>
      </w:pPr>
      <w:r>
        <w:t xml:space="preserve">Družstevní bydlení</w:t>
      </w:r>
    </w:p>
    <w:p>
      <w:r>
        <w:t xml:space="preserve">Město poskytne pozemek, soukromé nebo obecní bytové družstvo postaví a spravuje. Nájemníci jsou spoluvlastníky, náklady o 30–50 % nižší než tržní nájem.</w:t>
      </w:r>
    </w:p>
    <w:p>
      <w:pPr>
        <w:pStyle w:val="ListParagraph"/>
        <w:numPr>
          <w:ilvl w:val="0"/>
          <w:numId w:val="1"/>
        </w:numPr>
      </w:pPr>
      <w:r>
        <w:t xml:space="preserve">Výběr pozemku: vyčleníme konkrétní městské pozemky (např. bývalá zdravotní škola v Dědicích) a vyhlásíme výzvu pro bytové družstvo nebo partnerský subjekt.</w:t>
      </w:r>
    </w:p>
    <w:p>
      <w:pPr>
        <w:pStyle w:val="ListParagraph"/>
        <w:numPr>
          <w:ilvl w:val="0"/>
          <w:numId w:val="1"/>
        </w:numPr>
      </w:pPr>
      <w:r>
        <w:t xml:space="preserve">Cílová kapacita: 20–40 bytů v prvním pilotním projektu.</w:t>
      </w:r>
    </w:p>
    <w:p>
      <w:pPr>
        <w:pStyle w:val="ListParagraph"/>
        <w:numPr>
          <w:ilvl w:val="0"/>
          <w:numId w:val="1"/>
        </w:numPr>
      </w:pPr>
      <w:r>
        <w:t xml:space="preserve">Energetická náročnost: projekt v pasivním nebo nízkoenergetickém standardu.</w:t>
      </w:r>
    </w:p>
    <w:p>
      <w:pPr>
        <w:pStyle w:val="ListParagraph"/>
        <w:numPr>
          <w:ilvl w:val="0"/>
          <w:numId w:val="1"/>
        </w:numPr>
      </w:pPr>
      <w:r>
        <w:t xml:space="preserve">Komunitní prvky: sdílené prostory, zázemí pro seniory nebo rodiny, začlenění do sídlištní zástavby.</w:t>
      </w:r>
    </w:p>
    <w:p>
      <w:pPr>
        <w:pStyle w:val="Heading3"/>
      </w:pPr>
      <w:r>
        <w:t xml:space="preserve">Pravidla pro developery — kontribuce</w:t>
      </w:r>
    </w:p>
    <w:p>
      <w:r>
        <w:t xml:space="preserve">Jasná, předvídatelná spolupráce s investory: za každé povolení nové výstavby přispěje na rozvoj města (parky, infrastruktura, školy, sportoviště apod.).</w:t>
      </w:r>
    </w:p>
    <w:p>
      <w:pPr>
        <w:pStyle w:val="ListParagraph"/>
        <w:numPr>
          <w:ilvl w:val="0"/>
          <w:numId w:val="1"/>
        </w:numPr>
      </w:pPr>
      <w:r>
        <w:t xml:space="preserve">Metodika spoluúčasti (kontribuce): zavedeme pravidlo, kdy developer zaplatí městu částku za každý postavený metr čtvereční, kterou investujeme zpět do vyškovských škol a parků.</w:t>
      </w:r>
    </w:p>
    <w:p>
      <w:pPr>
        <w:pStyle w:val="ListParagraph"/>
        <w:numPr>
          <w:ilvl w:val="0"/>
          <w:numId w:val="1"/>
        </w:numPr>
      </w:pPr>
      <w:r>
        <w:t xml:space="preserve">Účelové využití výnosu: výhradně na veřejnou infrastrukturu, parky, nebo dotaci obecních/dostupných bytů.</w:t>
      </w:r>
    </w:p>
    <w:p>
      <w:pPr>
        <w:pStyle w:val="ListParagraph"/>
        <w:numPr>
          <w:ilvl w:val="0"/>
          <w:numId w:val="1"/>
        </w:numPr>
      </w:pPr>
      <w:r>
        <w:t xml:space="preserve">Transparentnost: výnosy a jejich použití zveřejňovány ve výroční zprávě. Žádné zákulisní dohody.</w:t>
      </w:r>
    </w:p>
    <w:p>
      <w:pPr>
        <w:pStyle w:val="ListParagraph"/>
        <w:numPr>
          <w:ilvl w:val="0"/>
          <w:numId w:val="1"/>
        </w:numPr>
      </w:pPr>
      <w:r>
        <w:t xml:space="preserve">Rovný přístup pro všechny: pravidla schválena zastupitelstvem, platná pro všechny investory i developery stejně.</w:t>
      </w:r>
    </w:p>
    <w:p>
      <w:pPr>
        <w:pStyle w:val="Heading3"/>
      </w:pPr>
      <w:r>
        <w:t xml:space="preserve">Bonus za trvalé bydliště ve Vyškově</w:t>
      </w:r>
    </w:p>
    <w:p>
      <w:r>
        <w:t xml:space="preserve">Motivujeme lidi k nahlášení trvalého pobytu ve Vyškově — přinesou tak městu vyšší příjmy ze sdílené daně z příjmu (rozpočtové určení daní) a sami získají konkrétní výhody.</w:t>
      </w:r>
    </w:p>
    <w:p>
      <w:pPr>
        <w:pStyle w:val="ListParagraph"/>
        <w:numPr>
          <w:ilvl w:val="0"/>
          <w:numId w:val="1"/>
        </w:numPr>
      </w:pPr>
      <w:r>
        <w:t xml:space="preserve">Snížení daně z nemovitých věcí: nemovitosti, v nichž má majitel nebo nájemce trvalý pobyt, budou zvýhodněny v rámci zákonných možností.</w:t>
      </w:r>
    </w:p>
    <w:p>
      <w:pPr>
        <w:pStyle w:val="ListParagraph"/>
        <w:numPr>
          <w:ilvl w:val="0"/>
          <w:numId w:val="1"/>
        </w:numPr>
      </w:pPr>
      <w:r>
        <w:t xml:space="preserve">Balíček rezidentských výhod: zvýhodněné parkovací karty, sleva na MHD, vstup na Aquapark, přístup k předprodeji vstupenek na kulturní a sportovní akce.</w:t>
      </w:r>
    </w:p>
    <w:p>
      <w:pPr>
        <w:pStyle w:val="ListParagraph"/>
        <w:numPr>
          <w:ilvl w:val="0"/>
          <w:numId w:val="1"/>
        </w:numPr>
      </w:pPr>
      <w:r>
        <w:t xml:space="preserve">Komunikační kampaň: osvěta o finančním přínosu trvalého pobytu — každý přihlášený obyvatel přinese městu pravidelný příjem z RUD.</w:t>
      </w:r>
    </w:p>
    <w:p>
      <w:pPr>
        <w:pStyle w:val="Heading3"/>
      </w:pPr>
      <w:r>
        <w:t xml:space="preserve">Bydlení pro klíčové profese a seniory</w:t>
      </w:r>
    </w:p>
    <w:p>
      <w:r>
        <w:t xml:space="preserve">Zdravotníky, pedagogy a sociální pracovníky potřebujeme ve Vyškově udržet. Připravujeme se také na stárnutí populace.</w:t>
      </w:r>
    </w:p>
    <w:p>
      <w:pPr>
        <w:pStyle w:val="ListParagraph"/>
        <w:numPr>
          <w:ilvl w:val="0"/>
          <w:numId w:val="1"/>
        </w:numPr>
      </w:pPr>
      <w:r>
        <w:t xml:space="preserve">Prioritní přidělování: městské byty budou mít v bodovém systému zvýhodnění pro domácnosti s pracovníky v klíčových profesích (školství, zdravotnictví, sociální péče).</w:t>
      </w:r>
    </w:p>
    <w:p>
      <w:pPr>
        <w:pStyle w:val="ListParagraph"/>
        <w:numPr>
          <w:ilvl w:val="0"/>
          <w:numId w:val="1"/>
        </w:numPr>
      </w:pPr>
      <w:r>
        <w:t xml:space="preserve">Na sídlištích: podpoříme budování nových parkovacích míst a parkovacích domů, v součinnosti se SVJ a správci bytových domů.</w:t>
      </w:r>
    </w:p>
    <w:p>
      <w:pPr>
        <w:pStyle w:val="ListParagraph"/>
        <w:numPr>
          <w:ilvl w:val="0"/>
          <w:numId w:val="1"/>
        </w:numPr>
      </w:pPr>
      <w:r>
        <w:t xml:space="preserve">Příprava na demografické výzvy: plán na rozvoj domů s pečovatelskou službou a chráněného bydlení jako součást bytového plánu na roky 2027+. Komunitní prvky u seniorského bydlení, sdílené prostory, blízkost služeb, bezbariérovost jako standard u nových projektů.</w:t>
      </w:r>
    </w:p>
    <w:p>
      <w:r>
        <w:t xml:space="preserve">Pro každý z výše popsaných cílů zřídíme svého garanta v rámci zastupitelstva — konkrétní jméno, konkrétní odpovědnost. Budeme každoročně zveřejňovat zprávu o plnění na webu města i na veřejném setkání s občany.</w:t>
      </w:r>
    </w:p>
    <w:p>
      <w:r>
        <w:t xml:space="preserve">Máme jasný plán a víme, že dostupné bydlení není utopie — je to výsledek systematické práce, férových pravidel a odvahy využívat existující nástroje. Vyškov má potenciál být příkladem pro jiná středně velká moravská města. Začínáme v roce 2026.</w:t>
      </w:r>
    </w:p>
    <w:sectPr>
      <w:headerReference w:type="default" r:id="rId3"/>
      <w:pgSz w:w="11906" w:h="16838"/>
      <w:pgMar w:top="1418" w:right="1418" w:bottom="1418" w:left="1418" w:header="709" w:footer="709" w:gutter="0"/>
    </w:sectPr>
  </w:body>
</w:document>
</file>

<file path=word/header1.xml><?xml version="1.0" encoding="utf-8"?>
<w:hdr xmlns:w="http://schemas.openxmlformats.org/wordprocessingml/2006/main">
  <w:p>
    <w:pPr>
      <w:spacing w:after="0"/>
      <w:jc w:val="right"/>
    </w:pPr>
    <w:r>
      <w:rPr>
        <w:color w:val="5A6C78"/>
        <w:sz w:val="18"/>
      </w:rPr>
      <w:t xml:space="preserve">Program Transparentní Vyškov · volby 9. a 10. října 2026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color w:val="0E1D28"/>
        <w:sz w:val="22"/>
        <w:szCs w:val="22"/>
        <w:lang w:val="cs-CZ"/>
      </w:rPr>
    </w:rPrDefault>
    <w:pPrDefault>
      <w:pPr>
        <w:spacing w:after="140" w:line="288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before="0" w:after="80"/>
    </w:pPr>
    <w:rPr>
      <w:b/>
      <w:color w:val="0E1D28"/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before="0" w:after="200"/>
      <w:outlineLvl w:val="0"/>
    </w:pPr>
    <w:rPr>
      <w:b/>
      <w:color w:val="1D6EB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spacing w:before="360" w:after="60"/>
      <w:outlineLvl w:val="1"/>
    </w:pPr>
    <w:rPr>
      <w:b/>
      <w:color w:val="145286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b/>
      <w:color w:val="0E1D28"/>
      <w:sz w:val="24"/>
      <w:szCs w:val="24"/>
    </w:rPr>
  </w:style>
  <w:style w:type="paragraph" w:styleId="ListParagraph">
    <w:name w:val="List Paragraph"/>
    <w:basedOn w:val="Normal"/>
    <w:qFormat/>
    <w:pPr>
      <w:spacing w:after="80"/>
      <w:ind w:left="720"/>
      <w:contextualSpacing/>
    </w:pPr>
  </w:style>
  <w:style w:type="paragraph" w:styleId="Nadtitul">
    <w:name w:val="Nadtitul"/>
    <w:basedOn w:val="Normal"/>
    <w:next w:val="Normal"/>
    <w:qFormat/>
    <w:pPr>
      <w:spacing w:before="0" w:after="60"/>
    </w:pPr>
    <w:rPr>
      <w:b/>
      <w:color w:val="1D6EB0"/>
      <w:sz w:val="20"/>
      <w:szCs w:val="20"/>
    </w:rPr>
  </w:style>
  <w:style w:type="paragraph" w:styleId="Perex">
    <w:name w:val="Perex"/>
    <w:basedOn w:val="Normal"/>
    <w:next w:val="Normal"/>
    <w:qFormat/>
    <w:pPr>
      <w:spacing w:after="200"/>
    </w:pPr>
    <w:rPr>
      <w:i/>
      <w:color w:val="5A6C78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Relationship Id="rId3" Type="http://schemas.openxmlformats.org/officeDocument/2006/relationships/header" Target="header1.xml"/>
<Relationship Id="rId4" Type="http://schemas.openxmlformats.org/officeDocument/2006/relationships/image" Target="media/logo.png"/>
</Relationships>
</file>