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</w:pPr>
      <w:r>
        <w:drawing>
          <wp:inline distT="0" distB="0" distL="0" distR="0">
            <wp:extent cx="1645920" cy="367589"/>
            <wp:effectExtent l="0" t="0" r="0" b="0"/>
            <wp:docPr id="1" name="Transparentní Vyško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758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adtitul"/>
      </w:pPr>
      <w:r>
        <w:t xml:space="preserve">VOLEBNÍ PROGRAM 2026–2030</w:t>
      </w:r>
    </w:p>
    <w:p>
      <w:pPr>
        <w:pStyle w:val="Title"/>
      </w:pPr>
      <w:r>
        <w:t xml:space="preserve">Školství pro 21. století</w:t>
      </w:r>
    </w:p>
    <w:p>
      <w:pPr>
        <w:pStyle w:val="Perex"/>
      </w:pPr>
      <w:r>
        <w:t xml:space="preserve">Každá škola stejně dobrá, každá třída stejně podnětná!</w:t>
      </w:r>
    </w:p>
    <w:p>
      <w:r>
        <w:t xml:space="preserve">Město bude přistupovat ke školkám a školám jako k síti. Aktivně se ujme koordinační a podpůrné funkce ve vztahu k ředitelům, učitelům a ke školním poradenským pracovištím.</w:t>
      </w:r>
    </w:p>
    <w:p>
      <w:pPr>
        <w:pStyle w:val="Heading2"/>
      </w:pPr>
      <w:r>
        <w:t xml:space="preserve">Pro děti</w:t>
      </w:r>
    </w:p>
    <w:p>
      <w:pPr>
        <w:pStyle w:val="ListParagraph"/>
        <w:numPr>
          <w:ilvl w:val="0"/>
          <w:numId w:val="1"/>
        </w:numPr>
      </w:pPr>
      <w:r>
        <w:t xml:space="preserve">Podporovat školy v získávání financí na asistenty pedagoga, školní psychology, speciální pedagogy a preventivní programy, včetně sdíleného psychologa.</w:t>
      </w:r>
    </w:p>
    <w:p>
      <w:pPr>
        <w:pStyle w:val="ListParagraph"/>
        <w:numPr>
          <w:ilvl w:val="0"/>
          <w:numId w:val="1"/>
        </w:numPr>
      </w:pPr>
      <w:r>
        <w:t xml:space="preserve">Podporovat wellbeing dětí, učitelů i nepedagogických pracovníků — prevence vyhoření, bezpečné klima škol a kvalitní komunikace s rodiči.</w:t>
      </w:r>
    </w:p>
    <w:p>
      <w:pPr>
        <w:pStyle w:val="ListParagraph"/>
        <w:numPr>
          <w:ilvl w:val="0"/>
          <w:numId w:val="1"/>
        </w:numPr>
      </w:pPr>
      <w:r>
        <w:t xml:space="preserve">Podporovat doučování, adaptační programy a dostupné kroužky pro všechny děti.</w:t>
      </w:r>
    </w:p>
    <w:p>
      <w:pPr>
        <w:pStyle w:val="ListParagraph"/>
        <w:numPr>
          <w:ilvl w:val="0"/>
          <w:numId w:val="1"/>
        </w:numPr>
      </w:pPr>
      <w:r>
        <w:t xml:space="preserve">Aktivně odbourávat nerovnosti mezi žáky a pomáhat dětem, které nemají stejné podmínky.</w:t>
      </w:r>
    </w:p>
    <w:p>
      <w:pPr>
        <w:pStyle w:val="Heading2"/>
      </w:pPr>
      <w:r>
        <w:t xml:space="preserve">Pro výuku</w:t>
      </w:r>
    </w:p>
    <w:p>
      <w:pPr>
        <w:pStyle w:val="ListParagraph"/>
        <w:numPr>
          <w:ilvl w:val="0"/>
          <w:numId w:val="1"/>
        </w:numPr>
      </w:pPr>
      <w:r>
        <w:t xml:space="preserve">Podporovat moderní a inovativní metody výuky, digitální gramotnost a kvalitní vybavení škol.</w:t>
      </w:r>
    </w:p>
    <w:p>
      <w:pPr>
        <w:pStyle w:val="ListParagraph"/>
        <w:numPr>
          <w:ilvl w:val="0"/>
          <w:numId w:val="1"/>
        </w:numPr>
      </w:pPr>
      <w:r>
        <w:t xml:space="preserve">Chceme aktivně spolupracovat s vedením našich škol a podporovat je v postupném přechodu od encyklopedických znalostí k rozvoji klíčových kompetencí, kritického myšlení a měkkých dovedností jako základu jejich úspěchů v dalším životě.</w:t>
      </w:r>
    </w:p>
    <w:p>
      <w:pPr>
        <w:pStyle w:val="ListParagraph"/>
        <w:numPr>
          <w:ilvl w:val="0"/>
          <w:numId w:val="1"/>
        </w:numPr>
      </w:pPr>
      <w:r>
        <w:t xml:space="preserve">Podporovat zkušenostní učení, environmentální vzdělávání, práci venku a smysluplné využití školních zahrad.</w:t>
      </w:r>
    </w:p>
    <w:p>
      <w:pPr>
        <w:pStyle w:val="ListParagraph"/>
        <w:numPr>
          <w:ilvl w:val="0"/>
          <w:numId w:val="1"/>
        </w:numPr>
      </w:pPr>
      <w:r>
        <w:t xml:space="preserve">Více zapojovat děti a mladé lidi do života města a veřejného prostoru.</w:t>
      </w:r>
    </w:p>
    <w:p>
      <w:pPr>
        <w:pStyle w:val="Heading2"/>
      </w:pPr>
      <w:r>
        <w:t xml:space="preserve">Pro řízení škol</w:t>
      </w:r>
    </w:p>
    <w:p>
      <w:pPr>
        <w:pStyle w:val="ListParagraph"/>
        <w:numPr>
          <w:ilvl w:val="0"/>
          <w:numId w:val="1"/>
        </w:numPr>
      </w:pPr>
      <w:r>
        <w:t xml:space="preserve">Nominovat kvalitní a zkušené členy školských rad, kteří budou školám skutečnou podporou.</w:t>
      </w:r>
    </w:p>
    <w:p>
      <w:pPr>
        <w:pStyle w:val="ListParagraph"/>
        <w:numPr>
          <w:ilvl w:val="0"/>
          <w:numId w:val="1"/>
        </w:numPr>
      </w:pPr>
      <w:r>
        <w:t xml:space="preserve">Vybírat ředitele škol transparentně, odborně a s důrazem na kvalitu vedení i dlouhodobou vizi školy.</w:t>
      </w:r>
    </w:p>
    <w:p>
      <w:pPr>
        <w:pStyle w:val="ListParagraph"/>
        <w:numPr>
          <w:ilvl w:val="0"/>
          <w:numId w:val="1"/>
        </w:numPr>
      </w:pPr>
      <w:r>
        <w:t xml:space="preserve">Pravidelně se setkávat s vedením škol a aktivně řešit jejich potřeby.</w:t>
      </w:r>
    </w:p>
    <w:p>
      <w:pPr>
        <w:pStyle w:val="ListParagraph"/>
        <w:numPr>
          <w:ilvl w:val="0"/>
          <w:numId w:val="1"/>
        </w:numPr>
      </w:pPr>
      <w:r>
        <w:t xml:space="preserve">Posílit spolupráci základních a středních škol ve Vyškově, místních firem a institucí.</w:t>
      </w:r>
    </w:p>
    <w:sectPr>
      <w:headerReference w:type="default" r:id="rId3"/>
      <w:pgSz w:w="11906" w:h="16838"/>
      <w:pgMar w:top="1418" w:right="1418" w:bottom="1418" w:left="1418" w:header="709" w:footer="709" w:gutter="0"/>
    </w:sectPr>
  </w:body>
</w:document>
</file>

<file path=word/header1.xml><?xml version="1.0" encoding="utf-8"?>
<w:hdr xmlns:w="http://schemas.openxmlformats.org/wordprocessingml/2006/main">
  <w:p>
    <w:pPr>
      <w:spacing w:after="0"/>
      <w:jc w:val="right"/>
    </w:pPr>
    <w:r>
      <w:rPr>
        <w:color w:val="5A6C78"/>
        <w:sz w:val="18"/>
      </w:rPr>
      <w:t xml:space="preserve">Program Transparentní Vyškov · volby 9. a 10. října 2026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0E1D28"/>
        <w:sz w:val="22"/>
        <w:szCs w:val="22"/>
        <w:lang w:val="cs-CZ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80"/>
    </w:pPr>
    <w:rPr>
      <w:b/>
      <w:color w:val="0E1D28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0" w:after="200"/>
      <w:outlineLvl w:val="0"/>
    </w:pPr>
    <w:rPr>
      <w:b/>
      <w:color w:val="1D6EB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60"/>
      <w:outlineLvl w:val="1"/>
    </w:pPr>
    <w:rPr>
      <w:b/>
      <w:color w:val="14528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color w:val="0E1D28"/>
      <w:sz w:val="24"/>
      <w:szCs w:val="24"/>
    </w:rPr>
  </w:style>
  <w:style w:type="paragraph" w:styleId="ListParagraph">
    <w:name w:val="List Paragraph"/>
    <w:basedOn w:val="Normal"/>
    <w:qFormat/>
    <w:pPr>
      <w:spacing w:after="80"/>
      <w:ind w:left="720"/>
      <w:contextualSpacing/>
    </w:pPr>
  </w:style>
  <w:style w:type="paragraph" w:styleId="Nadtitul">
    <w:name w:val="Nadtitul"/>
    <w:basedOn w:val="Normal"/>
    <w:next w:val="Normal"/>
    <w:qFormat/>
    <w:pPr>
      <w:spacing w:before="0" w:after="60"/>
    </w:pPr>
    <w:rPr>
      <w:b/>
      <w:color w:val="1D6EB0"/>
      <w:sz w:val="20"/>
      <w:szCs w:val="20"/>
    </w:rPr>
  </w:style>
  <w:style w:type="paragraph" w:styleId="Perex">
    <w:name w:val="Perex"/>
    <w:basedOn w:val="Normal"/>
    <w:next w:val="Normal"/>
    <w:qFormat/>
    <w:pPr>
      <w:spacing w:after="200"/>
    </w:pPr>
    <w:rPr>
      <w:i/>
      <w:color w:val="5A6C7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header" Target="header1.xml"/>
<Relationship Id="rId4" Type="http://schemas.openxmlformats.org/officeDocument/2006/relationships/image" Target="media/logo.png"/>
</Relationships>
</file>