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E31937"/>
          <w:spacing w:val="28"/>
          <w:sz w:val="16"/>
          <w:szCs w:val="16"/>
        </w:rPr>
        <w:t xml:space="preserve">COSTINGS</w:t>
      </w:r>
    </w:p>
    <w:p>
      <w:pPr>
        <w:spacing w:after="60"/>
      </w:pPr>
      <w:r>
        <w:rPr>
          <w:rFonts w:ascii="Calibri" w:cs="Calibri" w:eastAsia="Calibri" w:hAnsi="Calibri"/>
          <w:b/>
          <w:bCs/>
          <w:color w:val="221E1F"/>
          <w:sz w:val="40"/>
          <w:szCs w:val="40"/>
        </w:rPr>
        <w:t xml:space="preserve">bb.q Chicken ordering website</w:t>
      </w:r>
    </w:p>
    <w:p>
      <w:pPr>
        <w:spacing w:after="100"/>
      </w:pPr>
      <w:r>
        <w:rPr>
          <w:rFonts w:ascii="Calibri" w:cs="Calibri" w:eastAsia="Calibri" w:hAnsi="Calibri"/>
          <w:color w:val="6E6660"/>
          <w:sz w:val="18"/>
          <w:szCs w:val="18"/>
        </w:rPr>
        <w:t xml:space="preserve">15 September 2026  ·  Prepared by Magugu Nzimande  ·  Commit b367aba on claude/bbq-chicken-website-4qzv8i</w:t>
      </w:r>
    </w:p>
    <w:p>
      <w:pPr>
        <w:spacing w:after="260"/>
      </w:pPr>
      <w:r>
        <w:rPr>
          <w:rFonts w:ascii="Calibri" w:cs="Calibri" w:eastAsia="Calibri" w:hAnsi="Calibri"/>
          <w:color w:val="6E6660"/>
          <w:sz w:val="18"/>
          <w:szCs w:val="18"/>
        </w:rPr>
        <w:t xml:space="preserve">Rate applied: </w:t>
      </w:r>
      <w:r>
        <w:rPr>
          <w:rFonts w:ascii="Calibri" w:cs="Calibri" w:eastAsia="Calibri" w:hAnsi="Calibri"/>
          <w:b/>
          <w:bCs/>
          <w:color w:val="221E1F"/>
          <w:sz w:val="18"/>
          <w:szCs w:val="18"/>
        </w:rPr>
        <w:t xml:space="preserve">R 950 per hour</w:t>
      </w:r>
      <w:r>
        <w:rPr>
          <w:rFonts w:ascii="Calibri" w:cs="Calibri" w:eastAsia="Calibri" w:hAnsi="Calibri"/>
          <w:color w:val="6E6660"/>
          <w:sz w:val="18"/>
          <w:szCs w:val="18"/>
        </w:rPr>
        <w:t xml:space="preserve">  ·  One experienced full-stack developer, eight-hour days.</w:t>
      </w:r>
    </w:p>
    <w:p>
      <w:pPr>
        <w:pBdr>
          <w:left w:val="single" w:color="E31937" w:sz="18" w:space="8"/>
        </w:pBdr>
        <w:spacing w:after="240"/>
        <w:ind w:left="160"/>
      </w:pPr>
      <w:r>
        <w:rPr>
          <w:rFonts w:ascii="Calibri" w:cs="Calibri" w:eastAsia="Calibri" w:hAnsi="Calibri"/>
          <w:b/>
          <w:bCs/>
          <w:color w:val="221E1F"/>
          <w:sz w:val="19"/>
          <w:szCs w:val="19"/>
        </w:rPr>
        <w:t xml:space="preserve">The effort is measured; the rate is not. </w:t>
      </w:r>
      <w:r>
        <w:rPr>
          <w:rFonts w:ascii="Calibri" w:cs="Calibri" w:eastAsia="Calibri" w:hAnsi="Calibri"/>
          <w:color w:val="221E1F"/>
          <w:sz w:val="19"/>
          <w:szCs w:val="19"/>
        </w:rPr>
        <w:t xml:space="preserve">Every day below was sized against what the workstream contains and cross-checked against the volume of code in the repository. R 950 an hour is an input to the arithmetic and has not been approved by anyone — change it and every figure moves with it.</w:t>
      </w:r>
    </w:p>
    <w:p>
      <w:pPr>
        <w:pBdr>
          <w:bottom w:val="single" w:color="221E1F" w:sz="12" w:space="4"/>
        </w:pBdr>
        <w:spacing w:after="160" w:before="360"/>
      </w:pPr>
      <w:r>
        <w:rPr>
          <w:rFonts w:ascii="Calibri" w:cs="Calibri" w:eastAsia="Calibri" w:hAnsi="Calibri"/>
          <w:b/>
          <w:bCs/>
          <w:color w:val="221E1F"/>
          <w:sz w:val="26"/>
          <w:szCs w:val="26"/>
        </w:rPr>
        <w:t xml:space="preserve">1.  Work completed</w:t>
      </w:r>
    </w:p>
    <w:p>
      <w:pPr>
        <w:spacing w:after="140" w:line="276"/>
      </w:pPr>
      <w:r>
        <w:rPr>
          <w:rFonts w:ascii="Calibri" w:cs="Calibri" w:eastAsia="Calibri" w:hAnsi="Calibri"/>
          <w:color w:val="221E1F"/>
          <w:sz w:val="20"/>
          <w:szCs w:val="20"/>
        </w:rPr>
        <w:t xml:space="preserve">54 workstreams, 228 working days. Days include the design, the tests and the documentation for each item — not coding time with everything else deducted.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600"/>
        <w:gridCol w:w="5200"/>
        <w:gridCol w:w="900"/>
        <w:gridCol w:w="1000"/>
        <w:gridCol w:w="2000"/>
      </w:tblGrid>
      <w:tr>
        <w:trPr>
          <w:tblHeader/>
        </w:trPr>
        <w:tc>
          <w:tcPr>
            <w:tcW w:type="dxa" w:w="600"/>
            <w:shd w:fill="E31937" w:color="auto" w:val="clear"/>
            <w:tcMar>
              <w:top w:type="dxa" w:w="100"/>
              <w:left w:type="dxa" w:w="120"/>
              <w:bottom w:type="dxa" w:w="100"/>
              <w:right w:type="dxa" w:w="120"/>
            </w:tcMar>
          </w:tcPr>
          <w:p>
            <w:pPr>
              <w:spacing w:after="0"/>
            </w:pPr>
            <w:r>
              <w:rPr>
                <w:rFonts w:ascii="Calibri" w:cs="Calibri" w:eastAsia="Calibri" w:hAnsi="Calibri"/>
                <w:b/>
                <w:bCs/>
                <w:color w:val="FFFFFF"/>
                <w:spacing w:val="16"/>
                <w:sz w:val="15"/>
                <w:szCs w:val="15"/>
              </w:rPr>
              <w:t xml:space="preserve">#</w:t>
            </w:r>
          </w:p>
        </w:tc>
        <w:tc>
          <w:tcPr>
            <w:tcW w:type="dxa" w:w="5200"/>
            <w:shd w:fill="E31937" w:color="auto" w:val="clear"/>
            <w:tcMar>
              <w:top w:type="dxa" w:w="100"/>
              <w:left w:type="dxa" w:w="120"/>
              <w:bottom w:type="dxa" w:w="100"/>
              <w:right w:type="dxa" w:w="120"/>
            </w:tcMar>
          </w:tcPr>
          <w:p>
            <w:pPr>
              <w:spacing w:after="0"/>
            </w:pPr>
            <w:r>
              <w:rPr>
                <w:rFonts w:ascii="Calibri" w:cs="Calibri" w:eastAsia="Calibri" w:hAnsi="Calibri"/>
                <w:b/>
                <w:bCs/>
                <w:color w:val="FFFFFF"/>
                <w:spacing w:val="16"/>
                <w:sz w:val="15"/>
                <w:szCs w:val="15"/>
              </w:rPr>
              <w:t xml:space="preserve">WORKSTREAM</w:t>
            </w:r>
          </w:p>
        </w:tc>
        <w:tc>
          <w:tcPr>
            <w:tcW w:type="dxa" w:w="9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DAYS</w:t>
            </w:r>
          </w:p>
        </w:tc>
        <w:tc>
          <w:tcPr>
            <w:tcW w:type="dxa" w:w="10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HOURS</w:t>
            </w:r>
          </w:p>
        </w:tc>
        <w:tc>
          <w:tcPr>
            <w:tcW w:type="dxa" w:w="20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AT R 950/HR</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Foundation, monorepo and tooling</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Design system and brand enforcement</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5</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40</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38,000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Catalogue, seed data and option engine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6</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45,600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Storefront routes</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10</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80</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76,000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5</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API layer and order state machine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64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60,800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6</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Basket, configurator, checkout and order journey</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64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60,800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7</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Operations console and authentication</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5</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40</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38,000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8</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Automated test suite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7</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56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53,200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9</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Image pipeline and food imagery</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6</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45,600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10</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Single-file review build</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11</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Documentation and handover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12</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Audit, hardening and defect work</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5</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40</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38,000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13</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Payment seam</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64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60,800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14</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Customer accounts and POPIA</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10</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80</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76,000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15</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Notifications and monitoring</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64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60,800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16</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POS and courier seams</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18</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144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136,800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17</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Concurrent-write safety</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6</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45,600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18</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Accessibility and deployment</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7</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56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53,200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19</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Database schema and password reset</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7</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56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53,200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20</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Structured logging</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21</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PayFast adapter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22</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Uber Direct adapter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5</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40</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38,000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23</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Complete addresses and a container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24</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Mailgun and Clickatell transports</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25</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POS mapping and integration brief</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26</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Bounce handling and the shortfall reports</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27</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account interface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28</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payment journey</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29</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Password reset, reachable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30</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An operations console that can act</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31</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Loyalty, corrected</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32</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Availability from the till</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7,600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33</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Offer conditions, enforced</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34</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Trading hours, enforced</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35</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driver’s estimate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7,600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36</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screens for when things break</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37</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rewards ladder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7,600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38</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Review-build parity</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7,600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39</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Review-build drift</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40</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shared fixtures, and what writing them exposed</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41</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refund path</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42</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states the suites could not reach</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43</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Two handoffs that were not safe against a second caller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44</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Surviving a state file that is not the shape it should be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8</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7,600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45</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Authorisation held against the routes rather than against memory</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46</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What the order endpoints tell a stranger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47</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Erasure that reaches the whole file</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48</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The edges of the money</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32</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49</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What the logs carry out of the building</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50</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Claims that outlive the process holding them</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51</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Money taken for orders that were called off</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52</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What a refusal says, and to whom</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53</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Ordering the same thing again, some time later</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24</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r>
      <w:tr>
        <w:tc>
          <w:tcPr>
            <w:tcW w:type="dxa" w:w="600"/>
            <w:shd w:fill="F7F5F2"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54</w:t>
            </w:r>
          </w:p>
        </w:tc>
        <w:tc>
          <w:tcPr>
            <w:tcW w:type="dxa" w:w="5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“We deliver there”, and then we did not</w:t>
            </w:r>
          </w:p>
        </w:tc>
        <w:tc>
          <w:tcPr>
            <w:tcW w:type="dxa" w:w="9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16</w:t>
            </w:r>
          </w:p>
        </w:tc>
        <w:tc>
          <w:tcPr>
            <w:tcW w:type="dxa" w:w="20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r>
      <w:tr>
        <w:tc>
          <w:tcPr>
            <w:tcW w:type="dxa" w:w="600"/>
            <w:shd w:fill="FCE8EB"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
            </w:r>
          </w:p>
        </w:tc>
        <w:tc>
          <w:tcPr>
            <w:tcW w:type="dxa" w:w="5200"/>
            <w:shd w:fill="FCE8EB" w:color="auto" w:val="clear"/>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Total, work completed</w:t>
            </w:r>
          </w:p>
        </w:tc>
        <w:tc>
          <w:tcPr>
            <w:tcW w:type="dxa" w:w="9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228</w:t>
            </w:r>
          </w:p>
        </w:tc>
        <w:tc>
          <w:tcPr>
            <w:tcW w:type="dxa" w:w="10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1,824</w:t>
            </w:r>
          </w:p>
        </w:tc>
        <w:tc>
          <w:tcPr>
            <w:tcW w:type="dxa" w:w="20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R 1,732,800</w:t>
            </w:r>
          </w:p>
        </w:tc>
      </w:tr>
    </w:tbl>
    <w:p>
      <w:pPr>
        <w:pBdr>
          <w:bottom w:val="single" w:color="221E1F" w:sz="12" w:space="4"/>
        </w:pBdr>
        <w:spacing w:after="160" w:before="360"/>
      </w:pPr>
      <w:r>
        <w:rPr>
          <w:rFonts w:ascii="Calibri" w:cs="Calibri" w:eastAsia="Calibri" w:hAnsi="Calibri"/>
          <w:b/>
          <w:bCs/>
          <w:color w:val="221E1F"/>
          <w:sz w:val="26"/>
          <w:szCs w:val="26"/>
        </w:rPr>
        <w:t xml:space="preserve">2.  Work still to be done</w:t>
      </w:r>
    </w:p>
    <w:p>
      <w:pPr>
        <w:spacing w:after="140" w:line="276"/>
      </w:pPr>
      <w:r>
        <w:rPr>
          <w:rFonts w:ascii="Calibri" w:cs="Calibri" w:eastAsia="Calibri" w:hAnsi="Calibri"/>
          <w:color w:val="221E1F"/>
          <w:sz w:val="20"/>
          <w:szCs w:val="20"/>
        </w:rPr>
        <w:t xml:space="preserve">10 workstreams, 25 working days, and not one of them can start today. Each is waiting on an account, a contract, a specification or a signature; the engineering behind every seam is built and tested against a stand-in. Third-party costs are named rather than priced — those are quotes to obtain, not fees we set.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700"/>
        <w:gridCol w:w="1500"/>
        <w:gridCol w:w="1500"/>
      </w:tblGrid>
      <w:tr>
        <w:trPr>
          <w:tblHeader/>
        </w:trPr>
        <w:tc>
          <w:tcPr>
            <w:tcW w:type="dxa" w:w="2600"/>
            <w:shd w:fill="E31937" w:color="auto" w:val="clear"/>
            <w:tcMar>
              <w:top w:type="dxa" w:w="100"/>
              <w:left w:type="dxa" w:w="120"/>
              <w:bottom w:type="dxa" w:w="100"/>
              <w:right w:type="dxa" w:w="120"/>
            </w:tcMar>
          </w:tcPr>
          <w:p>
            <w:pPr>
              <w:spacing w:after="0"/>
            </w:pPr>
            <w:r>
              <w:rPr>
                <w:rFonts w:ascii="Calibri" w:cs="Calibri" w:eastAsia="Calibri" w:hAnsi="Calibri"/>
                <w:b/>
                <w:bCs/>
                <w:color w:val="FFFFFF"/>
                <w:spacing w:val="16"/>
                <w:sz w:val="15"/>
                <w:szCs w:val="15"/>
              </w:rPr>
              <w:t xml:space="preserve">WORKSTREAM</w:t>
            </w:r>
          </w:p>
        </w:tc>
        <w:tc>
          <w:tcPr>
            <w:tcW w:type="dxa" w:w="3400"/>
            <w:shd w:fill="E31937" w:color="auto" w:val="clear"/>
            <w:tcMar>
              <w:top w:type="dxa" w:w="100"/>
              <w:left w:type="dxa" w:w="120"/>
              <w:bottom w:type="dxa" w:w="100"/>
              <w:right w:type="dxa" w:w="120"/>
            </w:tcMar>
          </w:tcPr>
          <w:p>
            <w:pPr>
              <w:spacing w:after="0"/>
            </w:pPr>
            <w:r>
              <w:rPr>
                <w:rFonts w:ascii="Calibri" w:cs="Calibri" w:eastAsia="Calibri" w:hAnsi="Calibri"/>
                <w:b/>
                <w:bCs/>
                <w:color w:val="FFFFFF"/>
                <w:spacing w:val="16"/>
                <w:sz w:val="15"/>
                <w:szCs w:val="15"/>
              </w:rPr>
              <w:t xml:space="preserve">WHAT IT IS WAITING ON</w:t>
            </w:r>
          </w:p>
        </w:tc>
        <w:tc>
          <w:tcPr>
            <w:tcW w:type="dxa" w:w="7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DAYS</w:t>
            </w:r>
          </w:p>
        </w:tc>
        <w:tc>
          <w:tcPr>
            <w:tcW w:type="dxa" w:w="15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AT R 950/HR</w:t>
            </w:r>
          </w:p>
        </w:tc>
        <w:tc>
          <w:tcPr>
            <w:tcW w:type="dxa" w:w="1500"/>
            <w:shd w:fill="E31937" w:color="auto" w:val="clear"/>
            <w:tcMar>
              <w:top w:type="dxa" w:w="100"/>
              <w:left w:type="dxa" w:w="120"/>
              <w:bottom w:type="dxa" w:w="100"/>
              <w:right w:type="dxa" w:w="120"/>
            </w:tcMar>
          </w:tcPr>
          <w:p>
            <w:pPr>
              <w:spacing w:after="0"/>
            </w:pPr>
            <w:r>
              <w:rPr>
                <w:rFonts w:ascii="Calibri" w:cs="Calibri" w:eastAsia="Calibri" w:hAnsi="Calibri"/>
                <w:b/>
                <w:bCs/>
                <w:color w:val="FFFFFF"/>
                <w:spacing w:val="16"/>
                <w:sz w:val="15"/>
                <w:szCs w:val="15"/>
              </w:rPr>
              <w:t xml:space="preserve">THIRD-PARTY COST</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PayFast sandbox and go-live</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Adapter and checkout journey built. Needs a merchant account, then sandbox failure and retry testing.</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PayFast per-transaction fee</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GAAP adapter and onboarding</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Mapping and payload built against no vendor. Needs GAAP’s integration specification and per-store codes.</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4</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30,400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GAAP integration fee</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Uber Direct onboarding</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Adapter written and tested against a stub. Needs an Uber Direct account.</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Uber commission per delivery</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Persistent database</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Migration written and checked. Needs a server provisioned and the move made.</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Managed database hosting</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Mailgun and Clickatell onboarding</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Both transports written. Needs accounts, a verified sending domain and deliverability testing.</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Per-message cost</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Privacy policy and legal review</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Endpoints built and tested. Needs retention periods, consent copy and an information officer.</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Legal review</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Production monitoring and rollback</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Health endpoint and structured logs built. Needs an error-tracking service and a tested rollback.</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Tooling subscription</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Deployment, domain, CDN and certificates</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Container written. Needs a host, a domain, certificates and secrets management.</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15,200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Hosting and domain</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Food photography integration</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Twelve items wear a comped image. Needs the commissioned shoot.</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Shoot, stylist, studio</w:t>
            </w:r>
          </w:p>
        </w:tc>
      </w:tr>
      <w:tr>
        <w:tc>
          <w:tcPr>
            <w:tcW w:type="dxa" w:w="2600"/>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Accessibility audit with a person</w:t>
            </w:r>
          </w:p>
        </w:tc>
        <w:tc>
          <w:tcPr>
            <w:tcW w:type="dxa" w:w="34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Contrast maths and static scans done. Needs a screen-reader pass on the deployed build.</w:t>
            </w:r>
          </w:p>
        </w:tc>
        <w:tc>
          <w:tcPr>
            <w:tcW w:type="dxa" w:w="7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3</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22,800</w:t>
            </w:r>
          </w:p>
        </w:tc>
        <w:tc>
          <w:tcPr>
            <w:tcW w:type="dxa" w:w="1500"/>
            <w:tcMar>
              <w:top w:type="dxa" w:w="90"/>
              <w:left w:type="dxa" w:w="120"/>
              <w:bottom w:type="dxa" w:w="90"/>
              <w:right w:type="dxa" w:w="120"/>
            </w:tcMar>
            <w:vAlign w:val="top"/>
          </w:tcPr>
          <w:p>
            <w:pPr>
              <w:spacing w:after="0"/>
            </w:pPr>
            <w:r>
              <w:rPr>
                <w:rFonts w:ascii="Calibri" w:cs="Calibri" w:eastAsia="Calibri" w:hAnsi="Calibri"/>
                <w:color w:val="6E6660"/>
                <w:sz w:val="16"/>
                <w:szCs w:val="16"/>
              </w:rPr>
              <w:t xml:space="preserve">—</w:t>
            </w:r>
          </w:p>
        </w:tc>
      </w:tr>
      <w:tr>
        <w:tc>
          <w:tcPr>
            <w:tcW w:type="dxa" w:w="2600"/>
            <w:shd w:fill="FCE8EB" w:color="auto" w:val="clear"/>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Total, work outstanding</w:t>
            </w:r>
          </w:p>
        </w:tc>
        <w:tc>
          <w:tcPr>
            <w:tcW w:type="dxa" w:w="3400"/>
            <w:shd w:fill="FCE8EB" w:color="auto" w:val="clear"/>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
            </w:r>
          </w:p>
        </w:tc>
        <w:tc>
          <w:tcPr>
            <w:tcW w:type="dxa" w:w="7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25</w:t>
            </w:r>
          </w:p>
        </w:tc>
        <w:tc>
          <w:tcPr>
            <w:tcW w:type="dxa" w:w="15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R 190,000</w:t>
            </w:r>
          </w:p>
        </w:tc>
        <w:tc>
          <w:tcPr>
            <w:tcW w:type="dxa" w:w="1500"/>
            <w:shd w:fill="FCE8EB" w:color="auto" w:val="clear"/>
            <w:tcMar>
              <w:top w:type="dxa" w:w="90"/>
              <w:left w:type="dxa" w:w="120"/>
              <w:bottom w:type="dxa" w:w="90"/>
              <w:right w:type="dxa" w:w="120"/>
            </w:tcMar>
            <w:vAlign w:val="top"/>
          </w:tcPr>
          <w:p>
            <w:pPr>
              <w:spacing w:after="0"/>
            </w:pPr>
            <w:r>
              <w:rPr>
                <w:rFonts w:ascii="Calibri" w:cs="Calibri" w:eastAsia="Calibri" w:hAnsi="Calibri"/>
                <w:b/>
                <w:bCs/>
                <w:color w:val="221E1F"/>
                <w:sz w:val="16"/>
                <w:szCs w:val="16"/>
              </w:rPr>
              <w:t xml:space="preserve">Quotes required</w:t>
            </w:r>
          </w:p>
        </w:tc>
      </w:tr>
    </w:tbl>
    <w:p>
      <w:pPr>
        <w:pBdr>
          <w:bottom w:val="single" w:color="221E1F" w:sz="12" w:space="4"/>
        </w:pBdr>
        <w:spacing w:after="160" w:before="360"/>
      </w:pPr>
      <w:r>
        <w:rPr>
          <w:rFonts w:ascii="Calibri" w:cs="Calibri" w:eastAsia="Calibri" w:hAnsi="Calibri"/>
          <w:b/>
          <w:bCs/>
          <w:color w:val="221E1F"/>
          <w:sz w:val="26"/>
          <w:szCs w:val="26"/>
        </w:rPr>
        <w:t xml:space="preserve">3.  Summary</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200"/>
        <w:gridCol w:w="1200"/>
        <w:gridCol w:w="1500"/>
        <w:gridCol w:w="2800"/>
      </w:tblGrid>
      <w:tr>
        <w:trPr>
          <w:tblHeader/>
        </w:trPr>
        <w:tc>
          <w:tcPr>
            <w:tcW w:type="dxa" w:w="4200"/>
            <w:shd w:fill="E31937" w:color="auto" w:val="clear"/>
            <w:tcMar>
              <w:top w:type="dxa" w:w="100"/>
              <w:left w:type="dxa" w:w="120"/>
              <w:bottom w:type="dxa" w:w="100"/>
              <w:right w:type="dxa" w:w="120"/>
            </w:tcMar>
          </w:tcPr>
          <w:p>
            <w:pPr>
              <w:spacing w:after="0"/>
            </w:pPr>
            <w:r>
              <w:rPr>
                <w:rFonts w:ascii="Calibri" w:cs="Calibri" w:eastAsia="Calibri" w:hAnsi="Calibri"/>
                <w:b/>
                <w:bCs/>
                <w:color w:val="FFFFFF"/>
                <w:spacing w:val="16"/>
                <w:sz w:val="15"/>
                <w:szCs w:val="15"/>
              </w:rPr>
              <w:t xml:space="preserve">SCOPE</w:t>
            </w:r>
          </w:p>
        </w:tc>
        <w:tc>
          <w:tcPr>
            <w:tcW w:type="dxa" w:w="12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DAYS</w:t>
            </w:r>
          </w:p>
        </w:tc>
        <w:tc>
          <w:tcPr>
            <w:tcW w:type="dxa" w:w="15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HOURS</w:t>
            </w:r>
          </w:p>
        </w:tc>
        <w:tc>
          <w:tcPr>
            <w:tcW w:type="dxa" w:w="2800"/>
            <w:shd w:fill="E31937" w:color="auto" w:val="clear"/>
            <w:tcMar>
              <w:top w:type="dxa" w:w="100"/>
              <w:left w:type="dxa" w:w="120"/>
              <w:bottom w:type="dxa" w:w="100"/>
              <w:right w:type="dxa" w:w="120"/>
            </w:tcMar>
          </w:tcPr>
          <w:p>
            <w:pPr>
              <w:spacing w:after="0"/>
              <w:jc w:val="right"/>
            </w:pPr>
            <w:r>
              <w:rPr>
                <w:rFonts w:ascii="Calibri" w:cs="Calibri" w:eastAsia="Calibri" w:hAnsi="Calibri"/>
                <w:b/>
                <w:bCs/>
                <w:color w:val="FFFFFF"/>
                <w:spacing w:val="16"/>
                <w:sz w:val="15"/>
                <w:szCs w:val="15"/>
              </w:rPr>
              <w:t xml:space="preserve">AT R 950/HR</w:t>
            </w:r>
          </w:p>
        </w:tc>
      </w:tr>
      <w:tr>
        <w:tc>
          <w:tcPr>
            <w:tcW w:type="dxa" w:w="4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Work completed to date</w:t>
            </w:r>
          </w:p>
        </w:tc>
        <w:tc>
          <w:tcPr>
            <w:tcW w:type="dxa" w:w="12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228</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1,824</w:t>
            </w:r>
          </w:p>
        </w:tc>
        <w:tc>
          <w:tcPr>
            <w:tcW w:type="dxa" w:w="28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1,732,800</w:t>
            </w:r>
          </w:p>
        </w:tc>
      </w:tr>
      <w:tr>
        <w:tc>
          <w:tcPr>
            <w:tcW w:type="dxa" w:w="4200"/>
            <w:tcMar>
              <w:top w:type="dxa" w:w="90"/>
              <w:left w:type="dxa" w:w="120"/>
              <w:bottom w:type="dxa" w:w="90"/>
              <w:right w:type="dxa" w:w="120"/>
            </w:tcMar>
            <w:vAlign w:val="top"/>
          </w:tcPr>
          <w:p>
            <w:pPr>
              <w:spacing w:after="0"/>
            </w:pPr>
            <w:r>
              <w:rPr>
                <w:rFonts w:ascii="Calibri" w:cs="Calibri" w:eastAsia="Calibri" w:hAnsi="Calibri"/>
                <w:color w:val="221E1F"/>
                <w:sz w:val="18"/>
                <w:szCs w:val="18"/>
              </w:rPr>
              <w:t xml:space="preserve">Work still outstanding</w:t>
            </w:r>
          </w:p>
        </w:tc>
        <w:tc>
          <w:tcPr>
            <w:tcW w:type="dxa" w:w="12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25</w:t>
            </w:r>
          </w:p>
        </w:tc>
        <w:tc>
          <w:tcPr>
            <w:tcW w:type="dxa" w:w="15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200</w:t>
            </w:r>
          </w:p>
        </w:tc>
        <w:tc>
          <w:tcPr>
            <w:tcW w:type="dxa" w:w="2800"/>
            <w:tcMar>
              <w:top w:type="dxa" w:w="90"/>
              <w:left w:type="dxa" w:w="120"/>
              <w:bottom w:type="dxa" w:w="90"/>
              <w:right w:type="dxa" w:w="120"/>
            </w:tcMar>
            <w:vAlign w:val="top"/>
          </w:tcPr>
          <w:p>
            <w:pPr>
              <w:spacing w:after="0"/>
              <w:jc w:val="right"/>
            </w:pPr>
            <w:r>
              <w:rPr>
                <w:rFonts w:ascii="Calibri" w:cs="Calibri" w:eastAsia="Calibri" w:hAnsi="Calibri"/>
                <w:color w:val="221E1F"/>
                <w:sz w:val="18"/>
                <w:szCs w:val="18"/>
              </w:rPr>
              <w:t xml:space="preserve">R 190,000</w:t>
            </w:r>
          </w:p>
        </w:tc>
      </w:tr>
      <w:tr>
        <w:tc>
          <w:tcPr>
            <w:tcW w:type="dxa" w:w="4200"/>
            <w:shd w:fill="FCE8EB" w:color="auto" w:val="clear"/>
            <w:tcMar>
              <w:top w:type="dxa" w:w="90"/>
              <w:left w:type="dxa" w:w="120"/>
              <w:bottom w:type="dxa" w:w="90"/>
              <w:right w:type="dxa" w:w="120"/>
            </w:tcMar>
            <w:vAlign w:val="top"/>
          </w:tcPr>
          <w:p>
            <w:pPr>
              <w:spacing w:after="0"/>
            </w:pPr>
            <w:r>
              <w:rPr>
                <w:rFonts w:ascii="Calibri" w:cs="Calibri" w:eastAsia="Calibri" w:hAnsi="Calibri"/>
                <w:b/>
                <w:bCs/>
                <w:color w:val="221E1F"/>
                <w:sz w:val="18"/>
                <w:szCs w:val="18"/>
              </w:rPr>
              <w:t xml:space="preserve">Total engineering, end to end</w:t>
            </w:r>
          </w:p>
        </w:tc>
        <w:tc>
          <w:tcPr>
            <w:tcW w:type="dxa" w:w="12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253</w:t>
            </w:r>
          </w:p>
        </w:tc>
        <w:tc>
          <w:tcPr>
            <w:tcW w:type="dxa" w:w="15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2,024</w:t>
            </w:r>
          </w:p>
        </w:tc>
        <w:tc>
          <w:tcPr>
            <w:tcW w:type="dxa" w:w="2800"/>
            <w:shd w:fill="FCE8EB" w:color="auto" w:val="clear"/>
            <w:tcMar>
              <w:top w:type="dxa" w:w="90"/>
              <w:left w:type="dxa" w:w="120"/>
              <w:bottom w:type="dxa" w:w="90"/>
              <w:right w:type="dxa" w:w="120"/>
            </w:tcMar>
            <w:vAlign w:val="top"/>
          </w:tcPr>
          <w:p>
            <w:pPr>
              <w:spacing w:after="0"/>
              <w:jc w:val="right"/>
            </w:pPr>
            <w:r>
              <w:rPr>
                <w:rFonts w:ascii="Calibri" w:cs="Calibri" w:eastAsia="Calibri" w:hAnsi="Calibri"/>
                <w:b/>
                <w:bCs/>
                <w:color w:val="221E1F"/>
                <w:sz w:val="18"/>
                <w:szCs w:val="18"/>
              </w:rPr>
              <w:t xml:space="preserve">R 1,922,800</w:t>
            </w:r>
          </w:p>
        </w:tc>
      </w:tr>
    </w:tbl>
    <w:p>
      <w:pPr>
        <w:spacing w:after="140" w:before="200" w:line="276"/>
      </w:pPr>
      <w:r>
        <w:rPr>
          <w:rFonts w:ascii="Calibri" w:cs="Calibri" w:eastAsia="Calibri" w:hAnsi="Calibri"/>
          <w:color w:val="221E1F"/>
          <w:sz w:val="20"/>
          <w:szCs w:val="20"/>
        </w:rPr>
        <w:t xml:space="preserve">90% of the engineering is complete. What remains is weighted towards vendor onboarding rather than construction, so its calendar time depends on how quickly accounts, credentials and contracts arrive rather than on how fast anyone writes code.</w:t>
      </w:r>
    </w:p>
    <w:p>
      <w:pPr>
        <w:spacing w:after="140" w:line="276"/>
      </w:pPr>
      <w:r>
        <w:rPr>
          <w:rFonts w:ascii="Calibri" w:cs="Calibri" w:eastAsia="Calibri" w:hAnsi="Calibri"/>
          <w:color w:val="6E6660"/>
          <w:sz w:val="20"/>
          <w:szCs w:val="20"/>
        </w:rPr>
        <w:t xml:space="preserve">No project management, account management, agency overhead, margin or VAT is included. Those are commercial layers that sit on top of these figures.</w:t>
      </w:r>
    </w:p>
    <w:sectPr>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1E1F"/>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bb.q Chicken ordering website — costings</dc:title>
  <dc:creator>Magugu Nzimande</dc:creator>
  <dc:description>Work completed and outstanding, at R 950 an hour.</dc:description>
  <cp:lastModifiedBy>Un-named</cp:lastModifiedBy>
  <cp:revision>1</cp:revision>
  <dcterms:created xsi:type="dcterms:W3CDTF">2026-09-15T06:05:16.443Z</dcterms:created>
  <dcterms:modified xsi:type="dcterms:W3CDTF">2026-09-15T06:05:16.444Z</dcterms:modified>
</cp:coreProperties>
</file>

<file path=docProps/custom.xml><?xml version="1.0" encoding="utf-8"?>
<Properties xmlns="http://schemas.openxmlformats.org/officeDocument/2006/custom-properties" xmlns:vt="http://schemas.openxmlformats.org/officeDocument/2006/docPropsVTypes"/>
</file>