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dac9b33</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944</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46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34,354</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13,700 · tests 14,072 · review build 2,781 · data, schema and tooling 2,881 · shared packages 920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944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46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944 tests now in 46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46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logs carry out of the building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redactor reduces an email to its domain and a mobile to its last two digits, matched on the field name — and the bounce webhook logs a field called “recipient”, which was not on the list. Two lines a bounce went to stdout reading {"event":"email.suppressed","recipient":"thandi@example.com"}: an address, plus the fact that its owner had complained. Worse than the same leak into the audit log, and the reason it was worth a round of its own: erasure can rewrite a file this process owns and can never reach a log aggregator, so a line written there is written for good. The name list is fixed, and an address is now reduced whatever the field is called, since the next field to hold one will be named something else again. Numbers are deliberately not guessed at by shape — a courier reference can be ten digits — and that asymmetry is asserted rather than left to be discovered. Held by a standing guard rather than a test: every one of the suite’s test files now runs with a sink that fails if any log line anywhere carries the fixture customer’s address, name or number, so the question asked is not “does this call site redact” but “did nine hundred tests driving every route put a person into a log”</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215</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34,354 hand-written lines over 215 days is about 160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215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215 days × 8 hours = 1720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1720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688,000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791,200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1,118,000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1,285,700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1,462,000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1,681,300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1,634,000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1,879,100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1,978,000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2,274,700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2,494,000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2,868,100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1,634,000 excluding VAT, or R 1,879,100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logs carry out of the building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215</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1,720</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1,634,000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215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215</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1,720</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1,634,000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240</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1,920</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1,824,000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90%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2026-09-07T20:00:51.708Z</dcterms:created>
  <dcterms:modified xsi:type="dcterms:W3CDTF">2026-09-07T20:00:51.708Z</dcterms:modified>
</cp:coreProperties>
</file>

<file path=docProps/custom.xml><?xml version="1.0" encoding="utf-8"?>
<Properties xmlns="http://schemas.openxmlformats.org/officeDocument/2006/custom-properties" xmlns:vt="http://schemas.openxmlformats.org/officeDocument/2006/docPropsVTypes"/>
</file>