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8090a7e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425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23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18,232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7,965 · tests 5,479 · review build 2,241 · data and tooling 2,037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425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23 files, run against route handlers where the risk is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114</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18,232 hand-written lines over 114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114 days is roughly 23 working weeks, or a little over five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114 days × 8 hours = 912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912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364 800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419 520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592 800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681 720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775 200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891 480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866 400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996 360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1 048 800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1 206 120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1 322 400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1 520 760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866 400 excluding VAT, or R 996 360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114</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912</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866 400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114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that now exists, then sandbox failure and retry testing with real credentials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Postgres replacing the JSON state file; schema, migrations, concurrent-write safety</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half of accounts that needs a message to reach an inbox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Error tracking and structured logging on top of the health endpoint, and a tested rollback path</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performance audit</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and Core Web Vitals measured against the deployed build, not the local one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328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41</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912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866 400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41</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328</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311 600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155</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1 178 000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74%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2026-09-03T09:01:56.435Z</dcterms:created>
  <dcterms:modified xsi:type="dcterms:W3CDTF">2026-09-03T09:01:56.436Z</dcterms:modified>
</cp:coreProperties>
</file>

<file path=docProps/custom.xml><?xml version="1.0" encoding="utf-8"?>
<Properties xmlns="http://schemas.openxmlformats.org/officeDocument/2006/custom-properties" xmlns:vt="http://schemas.openxmlformats.org/officeDocument/2006/docPropsVTypes"/>
</file>