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3fe7ac2</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26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19,104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8,157 · tests 6,157 · review build 2,241 · data and tooling 2,039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127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19,104 hand-written lines over 127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127 days is roughly 25 working weeks, or a little under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127 days × 8 hours = 1016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1016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406 400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467 360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660 400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759 460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863 600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993 140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965 200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1 109 980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1 168 400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1 343 660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1 473 200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1 694 180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965 200 excluding VAT, or R 1 109 980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127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1 016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965 200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127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gateway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that now exists, then sandbox failure and retry testing with real credentials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Gateway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Courier adapter and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live tracking, provider onboarding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Postgres replacing the JSON state file; schema and migrations. Concurrent-write safety is done — the JSON store no longer loses an edit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half of accounts that needs a message to reach an inbox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Error tracking and structured logging on top of the health endpoint, and a tested rollback path</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performance audit</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and Core Web Vitals measured against the deployed build, not the local one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224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28</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1 016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965 200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224</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212 800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155</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1 240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1 178 000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82%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2026-09-03T09:38:35.527Z</dcterms:created>
  <dcterms:modified xsi:type="dcterms:W3CDTF">2026-09-03T09:38:35.527Z</dcterms:modified>
</cp:coreProperties>
</file>

<file path=docProps/custom.xml><?xml version="1.0" encoding="utf-8"?>
<Properties xmlns="http://schemas.openxmlformats.org/officeDocument/2006/custom-properties" xmlns:vt="http://schemas.openxmlformats.org/officeDocument/2006/docPropsVTypes"/>
</file>