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i w:val="false"/>
          <w:iCs w:val="false"/>
          <w:color w:val="E31937"/>
          <w:sz w:val="22"/>
          <w:szCs w:val="22"/>
        </w:rPr>
        <w:t xml:space="preserve">bb.q Chicken South Africa</w:t>
      </w:r>
    </w:p>
    <w:p>
      <w:pPr>
        <w:spacing w:after="100"/>
      </w:pPr>
      <w:r>
        <w:rPr>
          <w:rFonts w:ascii="Calibri" w:cs="Calibri" w:eastAsia="Calibri" w:hAnsi="Calibri"/>
          <w:b/>
          <w:bCs/>
          <w:i w:val="false"/>
          <w:iCs w:val="false"/>
          <w:color w:val="221E1F"/>
          <w:sz w:val="48"/>
          <w:szCs w:val="48"/>
        </w:rPr>
        <w:t xml:space="preserve">Ordering website</w:t>
      </w:r>
    </w:p>
    <w:p>
      <w:pPr>
        <w:pBdr>
          <w:bottom w:val="single" w:color="E31937" w:sz="18"/>
        </w:pBdr>
        <w:spacing w:after="300"/>
      </w:pPr>
      <w:r>
        <w:rPr>
          <w:rFonts w:ascii="Calibri" w:cs="Calibri" w:eastAsia="Calibri" w:hAnsi="Calibri"/>
          <w:b w:val="false"/>
          <w:bCs w:val="false"/>
          <w:i w:val="false"/>
          <w:iCs w:val="false"/>
          <w:color w:val="6E6660"/>
          <w:sz w:val="32"/>
          <w:szCs w:val="32"/>
        </w:rPr>
        <w:t xml:space="preserve">Build audit and costings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Field</w:t>
            </w:r>
          </w:p>
        </w:tc>
        <w:tc>
          <w:tcPr>
            <w:tcW w:type="dxa" w:w="6747"/>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Value</w:t>
            </w:r>
          </w:p>
        </w:tc>
      </w:tr>
      <w:tr>
        <w:tc>
          <w:tcPr>
            <w:tcW w:type="dxa" w:w="289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Prepared by</w:t>
            </w:r>
          </w:p>
        </w:tc>
        <w:tc>
          <w:tcPr>
            <w:tcW w:type="dxa" w:w="674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Magugu Nzimande</w:t>
            </w:r>
          </w:p>
        </w:tc>
      </w:tr>
      <w:tr>
        <w:tc>
          <w:tcPr>
            <w:tcW w:type="dxa" w:w="289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Date</w:t>
            </w:r>
          </w:p>
        </w:tc>
        <w:tc>
          <w:tcPr>
            <w:tcW w:type="dxa" w:w="674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13 September 2026</w:t>
            </w:r>
          </w:p>
        </w:tc>
      </w:tr>
      <w:tr>
        <w:tc>
          <w:tcPr>
            <w:tcW w:type="dxa" w:w="289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Subject</w:t>
            </w:r>
          </w:p>
        </w:tc>
        <w:tc>
          <w:tcPr>
            <w:tcW w:type="dxa" w:w="674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bb.q Chicken South Africa ordering website as built on branch claude/bbq-chicken-website-4qzv8i</w:t>
            </w:r>
          </w:p>
        </w:tc>
      </w:tr>
      <w:tr>
        <w:tc>
          <w:tcPr>
            <w:tcW w:type="dxa" w:w="289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Commit audited</w:t>
            </w:r>
          </w:p>
        </w:tc>
        <w:tc>
          <w:tcPr>
            <w:tcW w:type="dxa" w:w="674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2a5a1c6</w:t>
            </w:r>
          </w:p>
        </w:tc>
      </w:tr>
      <w:tr>
        <w:tc>
          <w:tcPr>
            <w:tcW w:type="dxa" w:w="289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Status of the build</w:t>
            </w:r>
          </w:p>
        </w:tc>
        <w:tc>
          <w:tcPr>
            <w:tcW w:type="dxa" w:w="674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Adapters written and tested for PayFast, Uber Direct, Mailgun and Clickatell; no merchant account, courier account or sending domain issued, so every one of them refuses or falls back. No POS vendor specification received. Not deployed to production.</w:t>
            </w:r>
          </w:p>
        </w:tc>
      </w:tr>
      <w:tr>
        <w:tc>
          <w:tcPr>
            <w:tcW w:type="dxa" w:w="289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Status of this document</w:t>
            </w:r>
          </w:p>
        </w:tc>
        <w:tc>
          <w:tcPr>
            <w:tcW w:type="dxa" w:w="674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Draft for internal review — the hourly rate is an input, not an approved figure</w:t>
            </w:r>
          </w:p>
        </w:tc>
      </w:tr>
    </w:tbl>
    <w:p>
      <w:pPr>
        <w:spacing w:after="200" w:before="0" w:line="264"/>
      </w:pPr>
      <w:r>
        <w:rPr>
          <w:rFonts w:ascii="Calibri" w:cs="Calibri" w:eastAsia="Calibri" w:hAnsi="Calibri"/>
          <w:b w:val="false"/>
          <w:bCs w:val="false"/>
          <w:i w:val="false"/>
          <w:iCs w:val="false"/>
          <w:color w:val="221E1F"/>
          <w:sz w:val="20"/>
          <w:szCs w:val="20"/>
        </w:rPr>
        <w:t xml:space="preserve"/>
      </w:r>
    </w:p>
    <w:p>
      <w:pPr>
        <w:spacing w:after="200" w:before="0" w:line="264"/>
      </w:pPr>
      <w:r>
        <w:rPr>
          <w:rFonts w:ascii="Calibri" w:cs="Calibri" w:eastAsia="Calibri" w:hAnsi="Calibri"/>
          <w:b/>
          <w:bCs/>
          <w:i w:val="false"/>
          <w:iCs w:val="false"/>
          <w:color w:val="221E1F"/>
          <w:sz w:val="20"/>
          <w:szCs w:val="20"/>
        </w:rPr>
        <w:t xml:space="preserve">Read section 6 before section 5. </w:t>
      </w:r>
      <w:r>
        <w:rPr>
          <w:rFonts w:ascii="Calibri" w:cs="Calibri" w:eastAsia="Calibri" w:hAnsi="Calibri"/>
          <w:b w:val="false"/>
          <w:bCs w:val="false"/>
          <w:i w:val="false"/>
          <w:iCs w:val="false"/>
          <w:color w:val="221E1F"/>
          <w:sz w:val="20"/>
          <w:szCs w:val="20"/>
        </w:rPr>
        <w:t xml:space="preserve">The effort in this document is measured; the money is not. Every rand figure here is arithmetic on a rate that Magugu Nzimande has to supply. Until that rate is filled in, treat the totals as a shape, not a quote.</w:t>
      </w:r>
    </w:p>
    <w:p>
      <w:r>
        <w:br w:type="page"/>
      </w:r>
    </w:p>
    <w:p>
      <w:pPr>
        <w:pStyle w:val="Heading1"/>
        <w:spacing w:after="180" w:before="360"/>
      </w:pPr>
      <w:r>
        <w:rPr>
          <w:rFonts w:ascii="Calibri" w:cs="Calibri" w:eastAsia="Calibri" w:hAnsi="Calibri"/>
          <w:b/>
          <w:bCs/>
          <w:color w:val="E31937"/>
          <w:sz w:val="30"/>
          <w:szCs w:val="30"/>
        </w:rPr>
        <w:t xml:space="preserve">1. Purpose and basis</w:t>
      </w:r>
    </w:p>
    <w:p>
      <w:pPr>
        <w:spacing w:after="120" w:before="0" w:line="264"/>
      </w:pPr>
      <w:r>
        <w:rPr>
          <w:rFonts w:ascii="Calibri" w:cs="Calibri" w:eastAsia="Calibri" w:hAnsi="Calibri"/>
          <w:b w:val="false"/>
          <w:bCs w:val="false"/>
          <w:i w:val="false"/>
          <w:iCs w:val="false"/>
          <w:color w:val="221E1F"/>
          <w:sz w:val="20"/>
          <w:szCs w:val="20"/>
        </w:rPr>
        <w:t xml:space="preserve">This document answers one question: what has actually been built, and what would it cost. It is written from the repository rather than from memory. Every count in section 2 was read off the working tree at the audited commit, so any of them can be checked against the code rather than taken on trust.</w:t>
      </w:r>
    </w:p>
    <w:p>
      <w:pPr>
        <w:pStyle w:val="Heading2"/>
        <w:spacing w:after="120" w:before="280"/>
      </w:pPr>
      <w:r>
        <w:rPr>
          <w:rFonts w:ascii="Calibri" w:cs="Calibri" w:eastAsia="Calibri" w:hAnsi="Calibri"/>
          <w:b/>
          <w:bCs/>
          <w:color w:val="221E1F"/>
          <w:sz w:val="24"/>
          <w:szCs w:val="24"/>
        </w:rPr>
        <w:t xml:space="preserve">How the figures were produced</w:t>
      </w:r>
    </w:p>
    <w:p>
      <w:pPr>
        <w:pStyle w:val="ListParagraph"/>
        <w:numPr>
          <w:ilvl w:val="0"/>
          <w:numId w:val="2"/>
        </w:numPr>
        <w:spacing w:after="80" w:line="264"/>
      </w:pPr>
      <w:r>
        <w:rPr>
          <w:rFonts w:ascii="Calibri" w:cs="Calibri" w:eastAsia="Calibri" w:hAnsi="Calibri"/>
          <w:b w:val="false"/>
          <w:bCs w:val="false"/>
          <w:i w:val="false"/>
          <w:iCs w:val="false"/>
          <w:color w:val="221E1F"/>
          <w:sz w:val="20"/>
          <w:szCs w:val="20"/>
        </w:rPr>
        <w:t xml:space="preserve">Scope was measured. Routes, endpoints, components, tests, products and images were counted off the working tree at commit f3350d1.</w:t>
      </w:r>
    </w:p>
    <w:p>
      <w:pPr>
        <w:pStyle w:val="ListParagraph"/>
        <w:numPr>
          <w:ilvl w:val="0"/>
          <w:numId w:val="2"/>
        </w:numPr>
        <w:spacing w:after="80" w:line="264"/>
      </w:pPr>
      <w:r>
        <w:rPr>
          <w:rFonts w:ascii="Calibri" w:cs="Calibri" w:eastAsia="Calibri" w:hAnsi="Calibri"/>
          <w:b w:val="false"/>
          <w:bCs w:val="false"/>
          <w:i w:val="false"/>
          <w:iCs w:val="false"/>
          <w:color w:val="221E1F"/>
          <w:sz w:val="20"/>
          <w:szCs w:val="20"/>
        </w:rPr>
        <w:t xml:space="preserve">Effort was reconstructed. Each workstream was sized against what it contains, then cross-checked against the total volume of hand-written code. The two agree to within a few days.</w:t>
      </w:r>
    </w:p>
    <w:p>
      <w:pPr>
        <w:pStyle w:val="ListParagraph"/>
        <w:numPr>
          <w:ilvl w:val="0"/>
          <w:numId w:val="2"/>
        </w:numPr>
        <w:spacing w:after="80" w:line="264"/>
      </w:pPr>
      <w:r>
        <w:rPr>
          <w:rFonts w:ascii="Calibri" w:cs="Calibri" w:eastAsia="Calibri" w:hAnsi="Calibri"/>
          <w:b w:val="false"/>
          <w:bCs w:val="false"/>
          <w:i w:val="false"/>
          <w:iCs w:val="false"/>
          <w:color w:val="221E1F"/>
          <w:sz w:val="20"/>
          <w:szCs w:val="20"/>
        </w:rPr>
        <w:t xml:space="preserve">Money was calculated, not quoted. The document multiplies effort by a rate you choose. It does not tell you what the work is worth to a client, which is a commercial decision and not an engineering one.</w:t>
      </w:r>
    </w:p>
    <w:p>
      <w:pPr>
        <w:pStyle w:val="ListParagraph"/>
        <w:numPr>
          <w:ilvl w:val="0"/>
          <w:numId w:val="2"/>
        </w:numPr>
        <w:spacing w:after="80" w:line="264"/>
      </w:pPr>
      <w:r>
        <w:rPr>
          <w:rFonts w:ascii="Calibri" w:cs="Calibri" w:eastAsia="Calibri" w:hAnsi="Calibri"/>
          <w:b w:val="false"/>
          <w:bCs w:val="false"/>
          <w:i w:val="false"/>
          <w:iCs w:val="false"/>
          <w:color w:val="221E1F"/>
          <w:sz w:val="20"/>
          <w:szCs w:val="20"/>
        </w:rPr>
        <w:t xml:space="preserve">Third-party costs were left open. Gateway fees, POS licences, delivery commissions, hosting and legal review are named and their shape described, but no number is invented for any of them. Each needs a quote from the supplier.</w:t>
      </w:r>
    </w:p>
    <w:p>
      <w:pPr>
        <w:spacing w:after="120" w:before="0" w:line="264"/>
      </w:pPr>
      <w:r>
        <w:rPr>
          <w:rFonts w:ascii="Calibri" w:cs="Calibri" w:eastAsia="Calibri" w:hAnsi="Calibri"/>
          <w:b w:val="false"/>
          <w:bCs w:val="false"/>
          <w:i/>
          <w:iCs/>
          <w:color w:val="221E1F"/>
          <w:sz w:val="20"/>
          <w:szCs w:val="20"/>
        </w:rPr>
        <w:t xml:space="preserve">That last point is a rule the project has been run under throughout: fix what is testable, and document what depends on a contract or a credential rather than inventing it.</w:t>
      </w:r>
    </w:p>
    <w:p>
      <w:pPr>
        <w:pStyle w:val="Heading1"/>
        <w:spacing w:after="180" w:before="360"/>
      </w:pPr>
      <w:r>
        <w:rPr>
          <w:rFonts w:ascii="Calibri" w:cs="Calibri" w:eastAsia="Calibri" w:hAnsi="Calibri"/>
          <w:b/>
          <w:bCs/>
          <w:color w:val="E31937"/>
          <w:sz w:val="30"/>
          <w:szCs w:val="30"/>
        </w:rPr>
        <w:t xml:space="preserve">2. What has been built</w:t>
      </w:r>
    </w:p>
    <w:p>
      <w:pPr>
        <w:spacing w:after="120" w:before="0" w:line="264"/>
      </w:pPr>
      <w:r>
        <w:rPr>
          <w:rFonts w:ascii="Calibri" w:cs="Calibri" w:eastAsia="Calibri" w:hAnsi="Calibri"/>
          <w:b w:val="false"/>
          <w:bCs w:val="false"/>
          <w:i w:val="false"/>
          <w:iCs w:val="false"/>
          <w:color w:val="221E1F"/>
          <w:sz w:val="20"/>
          <w:szCs w:val="20"/>
        </w:rPr>
        <w:t xml:space="preserve">A production-oriented ordering website for bb.q Chicken South Africa: a customer can browse the menu, configure an item, build a basket, choose collection or delivery, and place an order that a kitchen operator then moves through to completion in a separate console. It runs end to end today with no external service attached.</w:t>
      </w:r>
    </w:p>
    <w:p>
      <w:pPr>
        <w:pStyle w:val="Heading2"/>
        <w:spacing w:after="120" w:before="280"/>
      </w:pPr>
      <w:r>
        <w:rPr>
          <w:rFonts w:ascii="Calibri" w:cs="Calibri" w:eastAsia="Calibri" w:hAnsi="Calibri"/>
          <w:b/>
          <w:bCs/>
          <w:color w:val="221E1F"/>
          <w:sz w:val="24"/>
          <w:szCs w:val="24"/>
        </w:rPr>
        <w:t xml:space="preserve">2.1 Scale, measured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6"/>
        <w:gridCol w:w="1606"/>
        <w:gridCol w:w="4016"/>
      </w:tblGrid>
      <w:tr>
        <w:trPr>
          <w:tblHeader/>
        </w:trPr>
        <w:tc>
          <w:tcPr>
            <w:tcW w:type="dxa" w:w="4016"/>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What</w:t>
            </w:r>
          </w:p>
        </w:tc>
        <w:tc>
          <w:tcPr>
            <w:tcW w:type="dxa" w:w="1606"/>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FFFFFF"/>
                <w:sz w:val="19"/>
                <w:szCs w:val="19"/>
              </w:rPr>
              <w:t xml:space="preserve">Count</w:t>
            </w:r>
          </w:p>
        </w:tc>
        <w:tc>
          <w:tcPr>
            <w:tcW w:type="dxa" w:w="4016"/>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Detail</w:t>
            </w:r>
          </w:p>
        </w:tc>
      </w:tr>
      <w:tr>
        <w:tc>
          <w:tcPr>
            <w:tcW w:type="dxa" w:w="4016"/>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Customer-facing pages</w:t>
            </w:r>
          </w:p>
        </w:tc>
        <w:tc>
          <w:tcPr>
            <w:tcW w:type="dxa" w:w="1606"/>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13</w:t>
            </w:r>
          </w:p>
        </w:tc>
        <w:tc>
          <w:tcPr>
            <w:tcW w:type="dxa" w:w="4016"/>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Home, menu, product, offers, stores, rewards, account, help, checkout, order journey, app, and two console pages</w:t>
            </w:r>
          </w:p>
        </w:tc>
      </w:tr>
      <w:tr>
        <w:tc>
          <w:tcPr>
            <w:tcW w:type="dxa" w:w="4016"/>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API endpoints</w:t>
            </w:r>
          </w:p>
        </w:tc>
        <w:tc>
          <w:tcPr>
            <w:tcW w:type="dxa" w:w="1606"/>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28</w:t>
            </w:r>
          </w:p>
        </w:tc>
        <w:tc>
          <w:tcPr>
            <w:tcW w:type="dxa" w:w="4016"/>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Catalogue, stores, promotions, rewards, delivery, orders, payments, accounts, privacy, health, admin</w:t>
            </w:r>
          </w:p>
        </w:tc>
      </w:tr>
      <w:tr>
        <w:tc>
          <w:tcPr>
            <w:tcW w:type="dxa" w:w="4016"/>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React components</w:t>
            </w:r>
          </w:p>
        </w:tc>
        <w:tc>
          <w:tcPr>
            <w:tcW w:type="dxa" w:w="1606"/>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31</w:t>
            </w:r>
          </w:p>
        </w:tc>
        <w:tc>
          <w:tcPr>
            <w:tcW w:type="dxa" w:w="4016"/>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Across 13 feature areas</w:t>
            </w:r>
          </w:p>
        </w:tc>
      </w:tr>
      <w:tr>
        <w:tc>
          <w:tcPr>
            <w:tcW w:type="dxa" w:w="4016"/>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Business-logic modules</w:t>
            </w:r>
          </w:p>
        </w:tc>
        <w:tc>
          <w:tcPr>
            <w:tcW w:type="dxa" w:w="1606"/>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49</w:t>
            </w:r>
          </w:p>
        </w:tc>
        <w:tc>
          <w:tcPr>
            <w:tcW w:type="dxa" w:w="4016"/>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Pricing, cart, order integrity, order store, trading hours, two authentication boundaries, payments, accounts, notifications, fulfilment</w:t>
            </w:r>
          </w:p>
        </w:tc>
      </w:tr>
      <w:tr>
        <w:tc>
          <w:tcPr>
            <w:tcW w:type="dxa" w:w="4016"/>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Automated tests</w:t>
            </w:r>
          </w:p>
        </w:tc>
        <w:tc>
          <w:tcPr>
            <w:tcW w:type="dxa" w:w="1606"/>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1015</w:t>
            </w:r>
          </w:p>
        </w:tc>
        <w:tc>
          <w:tcPr>
            <w:tcW w:type="dxa" w:w="4016"/>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In 51 files; all passing</w:t>
            </w:r>
          </w:p>
        </w:tc>
      </w:tr>
      <w:tr>
        <w:tc>
          <w:tcPr>
            <w:tcW w:type="dxa" w:w="4016"/>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Hand-written lines</w:t>
            </w:r>
          </w:p>
        </w:tc>
        <w:tc>
          <w:tcPr>
            <w:tcW w:type="dxa" w:w="1606"/>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36,585</w:t>
            </w:r>
          </w:p>
        </w:tc>
        <w:tc>
          <w:tcPr>
            <w:tcW w:type="dxa" w:w="4016"/>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Application 14,365 · tests 15,452 · review build 2,839 · data, schema and tooling 2,974 · shared packages 955</w:t>
            </w:r>
          </w:p>
        </w:tc>
      </w:tr>
      <w:tr>
        <w:tc>
          <w:tcPr>
            <w:tcW w:type="dxa" w:w="4016"/>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Generated files</w:t>
            </w:r>
          </w:p>
        </w:tc>
        <w:tc>
          <w:tcPr>
            <w:tcW w:type="dxa" w:w="1606"/>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345</w:t>
            </w:r>
          </w:p>
        </w:tc>
        <w:tc>
          <w:tcPr>
            <w:tcW w:type="dxa" w:w="4016"/>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Image derivatives and brand assets, rebuilt from masters on every build</w:t>
            </w:r>
          </w:p>
        </w:tc>
      </w:tr>
      <w:tr>
        <w:tc>
          <w:tcPr>
            <w:tcW w:type="dxa" w:w="4016"/>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Commits</w:t>
            </w:r>
          </w:p>
        </w:tc>
        <w:tc>
          <w:tcPr>
            <w:tcW w:type="dxa" w:w="1606"/>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155</w:t>
            </w:r>
          </w:p>
        </w:tc>
        <w:tc>
          <w:tcPr>
            <w:tcW w:type="dxa" w:w="4016"/>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Each one reviewable on its own</w:t>
            </w:r>
          </w:p>
        </w:tc>
      </w:tr>
    </w:tbl>
    <w:p>
      <w:pPr>
        <w:pStyle w:val="Heading2"/>
        <w:spacing w:after="120" w:before="280"/>
      </w:pPr>
      <w:r>
        <w:rPr>
          <w:rFonts w:ascii="Calibri" w:cs="Calibri" w:eastAsia="Calibri" w:hAnsi="Calibri"/>
          <w:b/>
          <w:bCs/>
          <w:color w:val="221E1F"/>
          <w:sz w:val="24"/>
          <w:szCs w:val="24"/>
        </w:rPr>
        <w:t xml:space="preserve">2.2 The menu that ships with it</w:t>
      </w:r>
    </w:p>
    <w:p>
      <w:pPr>
        <w:spacing w:after="120" w:before="0" w:line="264"/>
      </w:pPr>
      <w:r>
        <w:rPr>
          <w:rFonts w:ascii="Calibri" w:cs="Calibri" w:eastAsia="Calibri" w:hAnsi="Calibri"/>
          <w:b w:val="false"/>
          <w:bCs w:val="false"/>
          <w:i w:val="false"/>
          <w:iCs w:val="false"/>
          <w:color w:val="221E1F"/>
          <w:sz w:val="20"/>
          <w:szCs w:val="20"/>
        </w:rPr>
        <w:t xml:space="preserve">All catalogue content is real, structured data rather than placeholder text, and it is the single source for the website, the review build and the mobile app at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1606"/>
        <w:gridCol w:w="4819"/>
      </w:tblGrid>
      <w:tr>
        <w:trPr>
          <w:tblHeader/>
        </w:trPr>
        <w:tc>
          <w:tcPr>
            <w:tcW w:type="dxa" w:w="3213"/>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Dataset</w:t>
            </w:r>
          </w:p>
        </w:tc>
        <w:tc>
          <w:tcPr>
            <w:tcW w:type="dxa" w:w="1606"/>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FFFFFF"/>
                <w:sz w:val="19"/>
                <w:szCs w:val="19"/>
              </w:rPr>
              <w:t xml:space="preserve">Records</w:t>
            </w:r>
          </w:p>
        </w:tc>
        <w:tc>
          <w:tcPr>
            <w:tcW w:type="dxa" w:w="4819"/>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Notes</w:t>
            </w:r>
          </w:p>
        </w:tc>
      </w:tr>
      <w:tr>
        <w:tc>
          <w:tcPr>
            <w:tcW w:type="dxa" w:w="3213"/>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Products</w:t>
            </w:r>
          </w:p>
        </w:tc>
        <w:tc>
          <w:tcPr>
            <w:tcW w:type="dxa" w:w="1606"/>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28</w:t>
            </w:r>
          </w:p>
        </w:tc>
        <w:tc>
          <w:tcPr>
            <w:tcW w:type="dxa" w:w="4819"/>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Chicken 7 · Wings 6 · Meals 5 · Sides 6 · Kids 4</w:t>
            </w:r>
          </w:p>
        </w:tc>
      </w:tr>
      <w:tr>
        <w:tc>
          <w:tcPr>
            <w:tcW w:type="dxa" w:w="3213"/>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Categories</w:t>
            </w:r>
          </w:p>
        </w:tc>
        <w:tc>
          <w:tcPr>
            <w:tcW w:type="dxa" w:w="1606"/>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5</w:t>
            </w:r>
          </w:p>
        </w:tc>
        <w:tc>
          <w:tcPr>
            <w:tcW w:type="dxa" w:w="4819"/>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Including the Kids Menu added most recently</w:t>
            </w:r>
          </w:p>
        </w:tc>
      </w:tr>
      <w:tr>
        <w:tc>
          <w:tcPr>
            <w:tcW w:type="dxa" w:w="3213"/>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Sauces</w:t>
            </w:r>
          </w:p>
        </w:tc>
        <w:tc>
          <w:tcPr>
            <w:tcW w:type="dxa" w:w="1606"/>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8</w:t>
            </w:r>
          </w:p>
        </w:tc>
        <w:tc>
          <w:tcPr>
            <w:tcW w:type="dxa" w:w="4819"/>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Offered in both halves of the half-and-half</w:t>
            </w:r>
          </w:p>
        </w:tc>
      </w:tr>
      <w:tr>
        <w:tc>
          <w:tcPr>
            <w:tcW w:type="dxa" w:w="3213"/>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Stores</w:t>
            </w:r>
          </w:p>
        </w:tc>
        <w:tc>
          <w:tcPr>
            <w:tcW w:type="dxa" w:w="1606"/>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c>
          <w:tcPr>
            <w:tcW w:type="dxa" w:w="4819"/>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With trading hours, services and delivery suburbs</w:t>
            </w:r>
          </w:p>
        </w:tc>
      </w:tr>
      <w:tr>
        <w:tc>
          <w:tcPr>
            <w:tcW w:type="dxa" w:w="3213"/>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Promotions</w:t>
            </w:r>
          </w:p>
        </w:tc>
        <w:tc>
          <w:tcPr>
            <w:tcW w:type="dxa" w:w="1606"/>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6</w:t>
            </w:r>
          </w:p>
        </w:tc>
        <w:tc>
          <w:tcPr>
            <w:tcW w:type="dxa" w:w="4819"/>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Each bound to a product that is on the menu</w:t>
            </w:r>
          </w:p>
        </w:tc>
      </w:tr>
      <w:tr>
        <w:tc>
          <w:tcPr>
            <w:tcW w:type="dxa" w:w="3213"/>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Reward tiers</w:t>
            </w:r>
          </w:p>
        </w:tc>
        <w:tc>
          <w:tcPr>
            <w:tcW w:type="dxa" w:w="1606"/>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7</w:t>
            </w:r>
          </w:p>
        </w:tc>
        <w:tc>
          <w:tcPr>
            <w:tcW w:type="dxa" w:w="4819"/>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Ascending ladder</w:t>
            </w:r>
          </w:p>
        </w:tc>
      </w:tr>
      <w:tr>
        <w:tc>
          <w:tcPr>
            <w:tcW w:type="dxa" w:w="3213"/>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FAQs</w:t>
            </w:r>
          </w:p>
        </w:tc>
        <w:tc>
          <w:tcPr>
            <w:tcW w:type="dxa" w:w="1606"/>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12</w:t>
            </w:r>
          </w:p>
        </w:tc>
        <w:tc>
          <w:tcPr>
            <w:tcW w:type="dxa" w:w="4819"/>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w:t>
            </w:r>
          </w:p>
        </w:tc>
      </w:tr>
      <w:tr>
        <w:tc>
          <w:tcPr>
            <w:tcW w:type="dxa" w:w="3213"/>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Food photographs</w:t>
            </w:r>
          </w:p>
        </w:tc>
        <w:tc>
          <w:tcPr>
            <w:tcW w:type="dxa" w:w="1606"/>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28 masters</w:t>
            </w:r>
          </w:p>
        </w:tc>
        <w:tc>
          <w:tcPr>
            <w:tcW w:type="dxa" w:w="4819"/>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One per product; 336 derivatives generated from them</w:t>
            </w:r>
          </w:p>
        </w:tc>
      </w:tr>
    </w:tbl>
    <w:p>
      <w:pPr>
        <w:pStyle w:val="Heading2"/>
        <w:spacing w:after="120" w:before="280"/>
      </w:pPr>
      <w:r>
        <w:rPr>
          <w:rFonts w:ascii="Calibri" w:cs="Calibri" w:eastAsia="Calibri" w:hAnsi="Calibri"/>
          <w:b/>
          <w:bCs/>
          <w:color w:val="221E1F"/>
          <w:sz w:val="24"/>
          <w:szCs w:val="24"/>
        </w:rPr>
        <w:t xml:space="preserve">2.3 What the build does that is not obvious from the screens</w:t>
      </w:r>
    </w:p>
    <w:p>
      <w:pPr>
        <w:pStyle w:val="ListParagraph"/>
        <w:numPr>
          <w:ilvl w:val="0"/>
          <w:numId w:val="2"/>
        </w:numPr>
        <w:spacing w:after="80" w:line="264"/>
      </w:pPr>
      <w:r>
        <w:rPr>
          <w:rFonts w:ascii="Calibri" w:cs="Calibri" w:eastAsia="Calibri" w:hAnsi="Calibri"/>
          <w:b/>
          <w:bCs/>
          <w:i w:val="false"/>
          <w:iCs w:val="false"/>
          <w:color w:val="221E1F"/>
          <w:sz w:val="20"/>
          <w:szCs w:val="20"/>
        </w:rPr>
        <w:t xml:space="preserve">Nothing a client says about money is trusted. </w:t>
      </w:r>
      <w:r>
        <w:rPr>
          <w:rFonts w:ascii="Calibri" w:cs="Calibri" w:eastAsia="Calibri" w:hAnsi="Calibri"/>
          <w:b w:val="false"/>
          <w:bCs w:val="false"/>
          <w:i w:val="false"/>
          <w:iCs w:val="false"/>
          <w:color w:val="221E1F"/>
          <w:sz w:val="20"/>
          <w:szCs w:val="20"/>
        </w:rPr>
        <w:t xml:space="preserve">Every basket line is priced again on the server from the catalogue, and a line whose claimed price disagrees is refused rather than quietly corrected. Before this was added, a crafted request could place a valid order totalling one cent.</w:t>
      </w:r>
    </w:p>
    <w:p>
      <w:pPr>
        <w:pStyle w:val="ListParagraph"/>
        <w:numPr>
          <w:ilvl w:val="0"/>
          <w:numId w:val="2"/>
        </w:numPr>
        <w:spacing w:after="80" w:line="264"/>
      </w:pPr>
      <w:r>
        <w:rPr>
          <w:rFonts w:ascii="Calibri" w:cs="Calibri" w:eastAsia="Calibri" w:hAnsi="Calibri"/>
          <w:b/>
          <w:bCs/>
          <w:i w:val="false"/>
          <w:iCs w:val="false"/>
          <w:color w:val="221E1F"/>
          <w:sz w:val="20"/>
          <w:szCs w:val="20"/>
        </w:rPr>
        <w:t xml:space="preserve">A retried checkout cannot charge twice. </w:t>
      </w:r>
      <w:r>
        <w:rPr>
          <w:rFonts w:ascii="Calibri" w:cs="Calibri" w:eastAsia="Calibri" w:hAnsi="Calibri"/>
          <w:b w:val="false"/>
          <w:bCs w:val="false"/>
          <w:i w:val="false"/>
          <w:iCs w:val="false"/>
          <w:color w:val="221E1F"/>
          <w:sz w:val="20"/>
          <w:szCs w:val="20"/>
        </w:rPr>
        <w:t xml:space="preserve">One key is minted per attempt and replays the first result on any retry of either half.</w:t>
      </w:r>
    </w:p>
    <w:p>
      <w:pPr>
        <w:pStyle w:val="ListParagraph"/>
        <w:numPr>
          <w:ilvl w:val="0"/>
          <w:numId w:val="2"/>
        </w:numPr>
        <w:spacing w:after="80" w:line="264"/>
      </w:pPr>
      <w:r>
        <w:rPr>
          <w:rFonts w:ascii="Calibri" w:cs="Calibri" w:eastAsia="Calibri" w:hAnsi="Calibri"/>
          <w:b/>
          <w:bCs/>
          <w:i w:val="false"/>
          <w:iCs w:val="false"/>
          <w:color w:val="221E1F"/>
          <w:sz w:val="20"/>
          <w:szCs w:val="20"/>
        </w:rPr>
        <w:t xml:space="preserve">The order lifecycle is enforced, not described. </w:t>
      </w:r>
      <w:r>
        <w:rPr>
          <w:rFonts w:ascii="Calibri" w:cs="Calibri" w:eastAsia="Calibri" w:hAnsi="Calibri"/>
          <w:b w:val="false"/>
          <w:bCs w:val="false"/>
          <w:i w:val="false"/>
          <w:iCs w:val="false"/>
          <w:color w:val="221E1F"/>
          <w:sz w:val="20"/>
          <w:szCs w:val="20"/>
        </w:rPr>
        <w:t xml:space="preserve">Five states, with collection and dine-in relabelled rather than forked, and cancellation terminal from any state and refused without a reason.</w:t>
      </w:r>
    </w:p>
    <w:p>
      <w:pPr>
        <w:pStyle w:val="ListParagraph"/>
        <w:numPr>
          <w:ilvl w:val="0"/>
          <w:numId w:val="2"/>
        </w:numPr>
        <w:spacing w:after="80" w:line="264"/>
      </w:pPr>
      <w:r>
        <w:rPr>
          <w:rFonts w:ascii="Calibri" w:cs="Calibri" w:eastAsia="Calibri" w:hAnsi="Calibri"/>
          <w:b/>
          <w:bCs/>
          <w:i w:val="false"/>
          <w:iCs w:val="false"/>
          <w:color w:val="221E1F"/>
          <w:sz w:val="20"/>
          <w:szCs w:val="20"/>
        </w:rPr>
        <w:t xml:space="preserve">The console is behind real authentication. </w:t>
      </w:r>
      <w:r>
        <w:rPr>
          <w:rFonts w:ascii="Calibri" w:cs="Calibri" w:eastAsia="Calibri" w:hAnsi="Calibri"/>
          <w:b w:val="false"/>
          <w:bCs w:val="false"/>
          <w:i w:val="false"/>
          <w:iCs w:val="false"/>
          <w:color w:val="221E1F"/>
          <w:sz w:val="20"/>
          <w:szCs w:val="20"/>
        </w:rPr>
        <w:t xml:space="preserve">HMAC-signed session cookies, constant-time comparison, lockout after repeated failures, and guards that fail closed rather than open.</w:t>
      </w:r>
    </w:p>
    <w:p>
      <w:pPr>
        <w:pStyle w:val="ListParagraph"/>
        <w:numPr>
          <w:ilvl w:val="0"/>
          <w:numId w:val="2"/>
        </w:numPr>
        <w:spacing w:after="80" w:line="264"/>
      </w:pPr>
      <w:r>
        <w:rPr>
          <w:rFonts w:ascii="Calibri" w:cs="Calibri" w:eastAsia="Calibri" w:hAnsi="Calibri"/>
          <w:b/>
          <w:bCs/>
          <w:i w:val="false"/>
          <w:iCs w:val="false"/>
          <w:color w:val="221E1F"/>
          <w:sz w:val="20"/>
          <w:szCs w:val="20"/>
        </w:rPr>
        <w:t xml:space="preserve">The brand rules are checked by a machine. </w:t>
      </w:r>
      <w:r>
        <w:rPr>
          <w:rFonts w:ascii="Calibri" w:cs="Calibri" w:eastAsia="Calibri" w:hAnsi="Calibri"/>
          <w:b w:val="false"/>
          <w:bCs w:val="false"/>
          <w:i w:val="false"/>
          <w:iCs w:val="false"/>
          <w:color w:val="221E1F"/>
          <w:sz w:val="20"/>
          <w:szCs w:val="20"/>
        </w:rPr>
        <w:t xml:space="preserve">Spelling of the mark, the absence of unapproved copy, and the rule that no colour may be written outside the token files are all enforced in the same gate as the tests.</w:t>
      </w:r>
    </w:p>
    <w:p>
      <w:pPr>
        <w:pStyle w:val="ListParagraph"/>
        <w:numPr>
          <w:ilvl w:val="0"/>
          <w:numId w:val="2"/>
        </w:numPr>
        <w:spacing w:after="80" w:line="264"/>
      </w:pPr>
      <w:r>
        <w:rPr>
          <w:rFonts w:ascii="Calibri" w:cs="Calibri" w:eastAsia="Calibri" w:hAnsi="Calibri"/>
          <w:b/>
          <w:bCs/>
          <w:i w:val="false"/>
          <w:iCs w:val="false"/>
          <w:color w:val="221E1F"/>
          <w:sz w:val="20"/>
          <w:szCs w:val="20"/>
        </w:rPr>
        <w:t xml:space="preserve">The demo and the app cannot disagree. </w:t>
      </w:r>
      <w:r>
        <w:rPr>
          <w:rFonts w:ascii="Calibri" w:cs="Calibri" w:eastAsia="Calibri" w:hAnsi="Calibri"/>
          <w:b w:val="false"/>
          <w:bCs w:val="false"/>
          <w:i w:val="false"/>
          <w:iCs w:val="false"/>
          <w:color w:val="221E1F"/>
          <w:sz w:val="20"/>
          <w:szCs w:val="20"/>
        </w:rPr>
        <w:t xml:space="preserve">The single-file review build is generated from the same catalogue, categories and option groups the site uses; three separate duplications were found and removed, each after it had already caused a visible defect.</w:t>
      </w:r>
    </w:p>
    <w:p>
      <w:pPr>
        <w:pStyle w:val="Heading2"/>
        <w:spacing w:after="120" w:before="280"/>
      </w:pPr>
      <w:r>
        <w:rPr>
          <w:rFonts w:ascii="Calibri" w:cs="Calibri" w:eastAsia="Calibri" w:hAnsi="Calibri"/>
          <w:b/>
          <w:bCs/>
          <w:color w:val="221E1F"/>
          <w:sz w:val="24"/>
          <w:szCs w:val="24"/>
        </w:rPr>
        <w:t xml:space="preserve">2.4 Verification state at the audited commit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1606"/>
        <w:gridCol w:w="4819"/>
      </w:tblGrid>
      <w:tr>
        <w:trPr>
          <w:tblHeader/>
        </w:trPr>
        <w:tc>
          <w:tcPr>
            <w:tcW w:type="dxa" w:w="3213"/>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Gate</w:t>
            </w:r>
          </w:p>
        </w:tc>
        <w:tc>
          <w:tcPr>
            <w:tcW w:type="dxa" w:w="1606"/>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jc w:val="center"/>
            </w:pPr>
            <w:r>
              <w:rPr>
                <w:rFonts w:ascii="Calibri" w:cs="Calibri" w:eastAsia="Calibri" w:hAnsi="Calibri"/>
                <w:b/>
                <w:bCs/>
                <w:i w:val="false"/>
                <w:iCs w:val="false"/>
                <w:color w:val="FFFFFF"/>
                <w:sz w:val="19"/>
                <w:szCs w:val="19"/>
              </w:rPr>
              <w:t xml:space="preserve">Result</w:t>
            </w:r>
          </w:p>
        </w:tc>
        <w:tc>
          <w:tcPr>
            <w:tcW w:type="dxa" w:w="4819"/>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What it covers</w:t>
            </w:r>
          </w:p>
        </w:tc>
      </w:tr>
      <w:tr>
        <w:tc>
          <w:tcPr>
            <w:tcW w:type="dxa" w:w="3213"/>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Brand rules</w:t>
            </w:r>
          </w:p>
        </w:tc>
        <w:tc>
          <w:tcPr>
            <w:tcW w:type="dxa" w:w="1606"/>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Clean</w:t>
            </w:r>
          </w:p>
        </w:tc>
        <w:tc>
          <w:tcPr>
            <w:tcW w:type="dxa" w:w="4819"/>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Mark spelling, unapproved copy, hex outside the token files</w:t>
            </w:r>
          </w:p>
        </w:tc>
      </w:tr>
      <w:tr>
        <w:tc>
          <w:tcPr>
            <w:tcW w:type="dxa" w:w="3213"/>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Type checking</w:t>
            </w:r>
          </w:p>
        </w:tc>
        <w:tc>
          <w:tcPr>
            <w:tcW w:type="dxa" w:w="1606"/>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Clean</w:t>
            </w:r>
          </w:p>
        </w:tc>
        <w:tc>
          <w:tcPr>
            <w:tcW w:type="dxa" w:w="4819"/>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TypeScript strict across the whole workspace</w:t>
            </w:r>
          </w:p>
        </w:tc>
      </w:tr>
      <w:tr>
        <w:tc>
          <w:tcPr>
            <w:tcW w:type="dxa" w:w="3213"/>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Linting</w:t>
            </w:r>
          </w:p>
        </w:tc>
        <w:tc>
          <w:tcPr>
            <w:tcW w:type="dxa" w:w="1606"/>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Clean</w:t>
            </w:r>
          </w:p>
        </w:tc>
        <w:tc>
          <w:tcPr>
            <w:tcW w:type="dxa" w:w="4819"/>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ESLint with the Next.js configuration</w:t>
            </w:r>
          </w:p>
        </w:tc>
      </w:tr>
      <w:tr>
        <w:tc>
          <w:tcPr>
            <w:tcW w:type="dxa" w:w="3213"/>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Tests</w:t>
            </w:r>
          </w:p>
        </w:tc>
        <w:tc>
          <w:tcPr>
            <w:tcW w:type="dxa" w:w="1606"/>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1,015 passing</w:t>
            </w:r>
          </w:p>
        </w:tc>
        <w:tc>
          <w:tcPr>
            <w:tcW w:type="dxa" w:w="4819"/>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51 files, including four real worker processes racing on one file</w:t>
            </w:r>
          </w:p>
        </w:tc>
      </w:tr>
      <w:tr>
        <w:tc>
          <w:tcPr>
            <w:tcW w:type="dxa" w:w="3213"/>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Production build</w:t>
            </w:r>
          </w:p>
        </w:tc>
        <w:tc>
          <w:tcPr>
            <w:tcW w:type="dxa" w:w="1606"/>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Clean</w:t>
            </w:r>
          </w:p>
        </w:tc>
        <w:tc>
          <w:tcPr>
            <w:tcW w:type="dxa" w:w="4819"/>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Next.js build including asset derivation</w:t>
            </w:r>
          </w:p>
        </w:tc>
      </w:tr>
      <w:tr>
        <w:tc>
          <w:tcPr>
            <w:tcW w:type="dxa" w:w="3213"/>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Review build</w:t>
            </w:r>
          </w:p>
        </w:tc>
        <w:tc>
          <w:tcPr>
            <w:tcW w:type="dxa" w:w="1606"/>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3.83 MB</w:t>
            </w:r>
          </w:p>
        </w:tc>
        <w:tc>
          <w:tcPr>
            <w:tcW w:type="dxa" w:w="4819"/>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Single file, opens from a link with no server</w:t>
            </w:r>
          </w:p>
        </w:tc>
      </w:tr>
    </w:tbl>
    <w:p>
      <w:r>
        <w:br w:type="page"/>
      </w:r>
    </w:p>
    <w:p>
      <w:pPr>
        <w:pStyle w:val="Heading1"/>
        <w:spacing w:after="180" w:before="360"/>
      </w:pPr>
      <w:r>
        <w:rPr>
          <w:rFonts w:ascii="Calibri" w:cs="Calibri" w:eastAsia="Calibri" w:hAnsi="Calibri"/>
          <w:b/>
          <w:bCs/>
          <w:color w:val="E31937"/>
          <w:sz w:val="30"/>
          <w:szCs w:val="30"/>
        </w:rPr>
        <w:t xml:space="preserve">3. What is waiting on somebody else</w:t>
      </w:r>
    </w:p>
    <w:p>
      <w:pPr>
        <w:spacing w:after="120" w:before="0" w:line="264"/>
      </w:pPr>
      <w:r>
        <w:rPr>
          <w:rFonts w:ascii="Calibri" w:cs="Calibri" w:eastAsia="Calibri" w:hAnsi="Calibri"/>
          <w:b w:val="false"/>
          <w:bCs w:val="false"/>
          <w:i w:val="false"/>
          <w:iCs w:val="false"/>
          <w:color w:val="221E1F"/>
          <w:sz w:val="20"/>
          <w:szCs w:val="20"/>
        </w:rPr>
        <w:t xml:space="preserve">Four integrations have no vendor. None of them is a gap in the build any more: each has an interface, a record of what happened, and tests for everything that stays true whichever vendor is eventually chosen. What is missing in every case is an account, a contract or a signature that engineering cannot produce, and the standing rule on this project is to build up to that line and document it rather than invent a credential.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088"/>
        <w:gridCol w:w="5140"/>
      </w:tblGrid>
      <w:tr>
        <w:trPr>
          <w:tblHeader/>
        </w:trPr>
        <w:tc>
          <w:tcPr>
            <w:tcW w:type="dxa" w:w="2410"/>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Area</w:t>
            </w:r>
          </w:p>
        </w:tc>
        <w:tc>
          <w:tcPr>
            <w:tcW w:type="dxa" w:w="2088"/>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State</w:t>
            </w:r>
          </w:p>
        </w:tc>
        <w:tc>
          <w:tcPr>
            <w:tcW w:type="dxa" w:w="5140"/>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What is there, and what is waiting</w:t>
            </w:r>
          </w:p>
        </w:tc>
      </w:tr>
      <w:tr>
        <w:tc>
          <w:tcPr>
            <w:tcW w:type="dxa" w:w="2410"/>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Payment</w:t>
            </w:r>
          </w:p>
        </w:tc>
        <w:tc>
          <w:tcPr>
            <w:tcW w:type="dxa" w:w="208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Wired, refuses without credentials</w:t>
            </w:r>
          </w:p>
        </w:tc>
        <w:tc>
          <w:tcPr>
            <w:tcW w:type="dxa" w:w="5140"/>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PayFast adapter, signature verification before parsing, settlement idempotent on the provider event id. Checkout opens a payment and hands the customer to the gateway, the order screen shows what the payment is doing, and the kitchen does not cook unpaid food. Answers 501 until merchant credentials exist, which is what keeps this build refusing payment visibly.</w:t>
            </w:r>
          </w:p>
        </w:tc>
      </w:tr>
      <w:tr>
        <w:tc>
          <w:tcPr>
            <w:tcW w:type="dxa" w:w="2410"/>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POS / order management</w:t>
            </w:r>
          </w:p>
        </w:tc>
        <w:tc>
          <w:tcPr>
            <w:tcW w:type="dxa" w:w="208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Seam built, degrades</w:t>
            </w:r>
          </w:p>
        </w:tc>
        <w:tc>
          <w:tcPr>
            <w:tcW w:type="dxa" w:w="5140"/>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Adapter interface, handoff record with retry, availability sync. An order with no POS still reaches the console. Waiting on store-systems access and integration terms.</w:t>
            </w:r>
          </w:p>
        </w:tc>
      </w:tr>
      <w:tr>
        <w:tc>
          <w:tcPr>
            <w:tcW w:type="dxa" w:w="2410"/>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Courier</w:t>
            </w:r>
          </w:p>
        </w:tc>
        <w:tc>
          <w:tcPr>
            <w:tcW w:type="dxa" w:w="208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Seam built, degrades</w:t>
            </w:r>
          </w:p>
        </w:tc>
        <w:tc>
          <w:tcPr>
            <w:tcW w:type="dxa" w:w="5140"/>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Adapter interface, dispatch requested for delivery orders only, tracking hook. Waiting on provider onboarding.</w:t>
            </w:r>
          </w:p>
        </w:tc>
      </w:tr>
      <w:tr>
        <w:tc>
          <w:tcPr>
            <w:tcW w:type="dxa" w:w="2410"/>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Messaging</w:t>
            </w:r>
          </w:p>
        </w:tc>
        <w:tc>
          <w:tcPr>
            <w:tcW w:type="dxa" w:w="208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Transports built, falls back to the log</w:t>
            </w:r>
          </w:p>
        </w:tc>
        <w:tc>
          <w:tcPr>
            <w:tcW w:type="dxa" w:w="5140"/>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Templates, a deliver-once ledger, Mailgun for email and Clickatell for SMS routed independently, bounce and complaint handling with a suppression list. Each falls back to writing to the audit log until its account exists. Waiting on a verified sending domain and a registered sender id.</w:t>
            </w:r>
          </w:p>
        </w:tc>
      </w:tr>
      <w:tr>
        <w:tc>
          <w:tcPr>
            <w:tcW w:type="dxa" w:w="2410"/>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Customer accounts</w:t>
            </w:r>
          </w:p>
        </w:tc>
        <w:tc>
          <w:tcPr>
            <w:tcW w:type="dxa" w:w="208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Built</w:t>
            </w:r>
          </w:p>
        </w:tc>
        <w:tc>
          <w:tcPr>
            <w:tcW w:type="dxa" w:w="5140"/>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scrypt passwords, signed sessions, saved addresses, order history scoped to the session, and password reset — hashed single-use tokens, reachable from the sign-in screen and from the emailed link. All of it has a screen.</w:t>
            </w:r>
          </w:p>
        </w:tc>
      </w:tr>
      <w:tr>
        <w:tc>
          <w:tcPr>
            <w:tcW w:type="dxa" w:w="2410"/>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Privacy and POPIA</w:t>
            </w:r>
          </w:p>
        </w:tc>
        <w:tc>
          <w:tcPr>
            <w:tcW w:type="dxa" w:w="208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Endpoints built</w:t>
            </w:r>
          </w:p>
        </w:tc>
        <w:tc>
          <w:tcPr>
            <w:tcW w:type="dxa" w:w="5140"/>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Access and erasure work and are tested; erasure keeps the sale and unlinks the person. Waiting on a lawyer for the policy, the retention periods and an information officer.</w:t>
            </w:r>
          </w:p>
        </w:tc>
      </w:tr>
      <w:tr>
        <w:tc>
          <w:tcPr>
            <w:tcW w:type="dxa" w:w="2410"/>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Monitoring</w:t>
            </w:r>
          </w:p>
        </w:tc>
        <w:tc>
          <w:tcPr>
            <w:tcW w:type="dxa" w:w="208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Health endpoint built</w:t>
            </w:r>
          </w:p>
        </w:tc>
        <w:tc>
          <w:tcPr>
            <w:tcW w:type="dxa" w:w="5140"/>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Liveness and configuration reported separately. Waiting on a production environment to point error tracking at.</w:t>
            </w:r>
          </w:p>
        </w:tc>
      </w:tr>
      <w:tr>
        <w:tc>
          <w:tcPr>
            <w:tcW w:type="dxa" w:w="2410"/>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Database</w:t>
            </w:r>
          </w:p>
        </w:tc>
        <w:tc>
          <w:tcPr>
            <w:tcW w:type="dxa" w:w="208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Stopgap in place</w:t>
            </w:r>
          </w:p>
        </w:tc>
        <w:tc>
          <w:tcPr>
            <w:tcW w:type="dxa" w:w="5140"/>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Orders, accounts and console writes live in a JSON file so several worker processes agree. Two operators writing in the same instant can still lose an edit. It is a stand-in for Postgres.</w:t>
            </w:r>
          </w:p>
        </w:tc>
      </w:tr>
    </w:tbl>
    <w:p>
      <w:pPr>
        <w:pStyle w:val="Heading2"/>
        <w:spacing w:after="120" w:before="280"/>
      </w:pPr>
      <w:r>
        <w:rPr>
          <w:rFonts w:ascii="Calibri" w:cs="Calibri" w:eastAsia="Calibri" w:hAnsi="Calibri"/>
          <w:b/>
          <w:bCs/>
          <w:color w:val="221E1F"/>
          <w:sz w:val="24"/>
          <w:szCs w:val="24"/>
        </w:rPr>
        <w:t xml:space="preserve">3.1 Two content items that are not engineering work</w:t>
      </w:r>
    </w:p>
    <w:p>
      <w:pPr>
        <w:spacing w:after="120" w:before="0" w:line="264"/>
      </w:pPr>
      <w:r>
        <w:rPr>
          <w:rFonts w:ascii="Calibri" w:cs="Calibri" w:eastAsia="Calibri" w:hAnsi="Calibri"/>
          <w:b/>
          <w:bCs/>
          <w:i w:val="false"/>
          <w:iCs w:val="false"/>
          <w:color w:val="221E1F"/>
          <w:sz w:val="20"/>
          <w:szCs w:val="20"/>
        </w:rPr>
        <w:t xml:space="preserve">Prices are demonstration values. </w:t>
      </w:r>
      <w:r>
        <w:rPr>
          <w:rFonts w:ascii="Calibri" w:cs="Calibri" w:eastAsia="Calibri" w:hAnsi="Calibri"/>
          <w:b w:val="false"/>
          <w:bCs w:val="false"/>
          <w:i w:val="false"/>
          <w:iCs w:val="false"/>
          <w:color w:val="221E1F"/>
          <w:sz w:val="20"/>
          <w:szCs w:val="20"/>
        </w:rPr>
        <w:t xml:space="preserve">Every price in the catalogue is marked for confirmation. They are internally consistent and behave correctly, but not one of them has been approved by bb.q Chicken. Nothing in this build should be shown to a customer until they have been.</w:t>
      </w:r>
    </w:p>
    <w:p>
      <w:pPr>
        <w:spacing w:after="120" w:before="0" w:line="264"/>
      </w:pPr>
      <w:r>
        <w:rPr>
          <w:rFonts w:ascii="Calibri" w:cs="Calibri" w:eastAsia="Calibri" w:hAnsi="Calibri"/>
          <w:b/>
          <w:bCs/>
          <w:i w:val="false"/>
          <w:iCs w:val="false"/>
          <w:color w:val="221E1F"/>
          <w:sz w:val="20"/>
          <w:szCs w:val="20"/>
        </w:rPr>
        <w:t xml:space="preserve">Twelve food images are comps, not photographs. </w:t>
      </w:r>
      <w:r>
        <w:rPr>
          <w:rFonts w:ascii="Calibri" w:cs="Calibri" w:eastAsia="Calibri" w:hAnsi="Calibri"/>
          <w:b w:val="false"/>
          <w:bCs w:val="false"/>
          <w:i w:val="false"/>
          <w:iCs w:val="false"/>
          <w:color w:val="221E1F"/>
          <w:sz w:val="20"/>
          <w:szCs w:val="20"/>
        </w:rPr>
        <w:t xml:space="preserve">The eight extended items and the four kids items were generated to the written brief so the menu is complete and reviewable. They are visually consistent with the rest, and they are not a substitute for a shoot. The brand-approval gate is not cleared by them.</w:t>
      </w:r>
    </w:p>
    <w:p>
      <w:pPr>
        <w:pStyle w:val="Heading1"/>
        <w:spacing w:after="180" w:before="360"/>
      </w:pPr>
      <w:r>
        <w:rPr>
          <w:rFonts w:ascii="Calibri" w:cs="Calibri" w:eastAsia="Calibri" w:hAnsi="Calibri"/>
          <w:b/>
          <w:bCs/>
          <w:color w:val="E31937"/>
          <w:sz w:val="30"/>
          <w:szCs w:val="30"/>
        </w:rPr>
        <w:t xml:space="preserve">4. Effort reconstruction</w:t>
      </w:r>
    </w:p>
    <w:p>
      <w:pPr>
        <w:spacing w:after="120" w:before="0" w:line="264"/>
      </w:pPr>
      <w:r>
        <w:rPr>
          <w:rFonts w:ascii="Calibri" w:cs="Calibri" w:eastAsia="Calibri" w:hAnsi="Calibri"/>
          <w:b w:val="false"/>
          <w:bCs w:val="false"/>
          <w:i w:val="false"/>
          <w:iCs w:val="false"/>
          <w:color w:val="221E1F"/>
          <w:sz w:val="20"/>
          <w:szCs w:val="20"/>
        </w:rPr>
        <w:t xml:space="preserve">Days below are working days for one experienced full-stack developer, including the design, the tests and the documentation for each workstream — not coding time in isolation.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3084"/>
        <w:gridCol w:w="5108"/>
        <w:gridCol w:w="964"/>
      </w:tblGrid>
      <w:tr>
        <w:trPr>
          <w:tblHeader/>
        </w:trPr>
        <w:tc>
          <w:tcPr>
            <w:tcW w:type="dxa" w:w="482"/>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jc w:val="center"/>
            </w:pPr>
            <w:r>
              <w:rPr>
                <w:rFonts w:ascii="Calibri" w:cs="Calibri" w:eastAsia="Calibri" w:hAnsi="Calibri"/>
                <w:b/>
                <w:bCs/>
                <w:i w:val="false"/>
                <w:iCs w:val="false"/>
                <w:color w:val="FFFFFF"/>
                <w:sz w:val="19"/>
                <w:szCs w:val="19"/>
              </w:rPr>
              <w:t xml:space="preserve">#</w:t>
            </w:r>
          </w:p>
        </w:tc>
        <w:tc>
          <w:tcPr>
            <w:tcW w:type="dxa" w:w="3084"/>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Workstream</w:t>
            </w:r>
          </w:p>
        </w:tc>
        <w:tc>
          <w:tcPr>
            <w:tcW w:type="dxa" w:w="5108"/>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What it contains</w:t>
            </w:r>
          </w:p>
        </w:tc>
        <w:tc>
          <w:tcPr>
            <w:tcW w:type="dxa" w:w="964"/>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FFFFFF"/>
                <w:sz w:val="19"/>
                <w:szCs w:val="19"/>
              </w:rPr>
              <w:t xml:space="preserve">Days</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1</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Foundation, monorepo and tooling</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Next.js 16 App Router, TypeScript strict, Tailwind v4, Vitest, ESLint, two shared packages, one verify gate</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2</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Design system and brand enforcement</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38-value token set held in three synchronised formats, 6 interface primitives, 5 chrome components, a 132-line brand-rule checker run in CI</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5</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3</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Catalogue, seed data and option engine</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1,896 lines: 28 products, 5 categories, 8 sauces, 3 stores, 6 promotions, 7 reward tiers, 12 FAQs, option groups generated per category</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6</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4</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Storefront routes</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13 pages: home, menu, product, offers, stores, rewards, account, help, checkout, order journey, app, console, console sign-in</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10</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5</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API layer and order state machine</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16 endpoints; five order states with collection, delivery and dine-in variants; cancellation terminal from any state and refused without a reason</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8</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6</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Basket, configurator, checkout and order journey</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Live pricing, option selection, line identity, free-delivery meter, trading-hours and delivery-zone gating, idempotent placement</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8</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7</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Operations console and authentication</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3 components, 4 admin endpoints, HMAC-signed sessions, constant-time comparison, lockout after repeated failures, fail-closed guards</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5</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8</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Automated test suite</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suite as it stood at this workstream: the 1015 tests now in 51 files grew with the workstreams below. Driven through route handlers rather than helpers</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7</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9</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Image pipeline and food imagery</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sharp pipeline producing 336 derivatives from 28 masters at three widths in two formats, plus the written photography brief</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6</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10</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Single-file review build</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2,241-line template and generator that inlines every asset, so the site opens from one link with no server</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11</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Documentation and handover</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279-line website README plus contributions to the handover, audit and readiness documents</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12</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Audit, hardening and defect work</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Server-side repricing, checkout idempotency, delivery-zone enforcement on the API, session-expiry handling, focus management, removal of three data duplications</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5</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13</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Payment seam</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Provider-agnostic adapter, HMAC callback verification before parsing, idempotent settlement on the provider event id, sandbox provider; still 501 with no merchant account</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8</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14</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Customer accounts and POPIA</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scrypt passwords, signed sessions, saved addresses, order history scoped to the session, points on the account; access and erasure requests</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10</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15</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Notifications and monitoring</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Message templates, delivery-once ledger, logging transport, health endpoint reporting both liveness and what is configured</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8</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16</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POS and courier seams</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Adapter interfaces, handoff record with retry, availability sync that tells unreachable apart from empty, degrade-not-refuse behaviour</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18</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17</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Concurrent-write safety</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Cross-process lock closing the read-modify-write race the JSON store shipped with, proved by four real worker processes and an unlocked control</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6</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18</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Accessibility and deployment</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WCAG contrast maths with the palette pairings held to it, static scans of markup and components, environment template checked against the code in both directions</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7</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19</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Database schema and password reset</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Postgres migration the JSON store stands in for, checked against the state shape by test; reset tokens stored as hashes, single-use, and answering identically for an address nobody has</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7</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20</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Structured logging</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One JSON object per event, redacting by field name and walking nested objects, with personal data reduced rather than dropped</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26</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Bounce handling and the shortfall reports</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Mailgun bounce and complaint webhook with replay guards in shared state, a suppression list that tells a hard bounce from a complaint from a soft one, and the refused-handoff and suppressed-address reports surfaced on the console</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25</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POS mapping and integration brief</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catalogue-to-till code map with its three-state completeness rule, modifier codes keyed by group and label, an order translated into the facts a till needs, and the specification list to send GAAP</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24</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Mailgun and Clickatell transports</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Email and SMS routed to separate providers, each falling back to the log independently; Clickatell’s per-message acceptance read rather than its status code, and Mailgun’s timestamp-and-token signature guarded against replay</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23</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Complete addresses and a container</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postal code through the checkout form, the schema, the order and the courier address; a multi-stage non-root image with the state file on a volume and a healthcheck on the endpoint that reports storage</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22</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Uber Direct adapter</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OAuth with a cached token, structured addresses built from what checkout collects, both of Uber’s status vocabularies, raw-byte webhook verification, and dispatch on ready rather than on order</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5</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21</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PayFast adapter</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PHP-compatible signing, all four of PayFast’s notification checks with the postback failing closed, status mapping, and an idempotency key that survives their PENDING-then-COMPLETE sequence</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27</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The account interface</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screen for the account system, which had been built and tested as endpoints nothing called: a typed browser client that parses every response rather than casting it, sign-in and registration with the error beside the field that caused it, order history, the address book, and the two POPIA requests as buttons rather than as an email to support. The session is read on the server so the page arrives in its final state</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28</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The payment journey</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join between the payment stack and the customer, which did not exist: checkout had “no provider is configured” written into its markup whatever the deployment had, and nothing anywhere called the intent endpoint. Checkout now reads the real configuration on the server, opens a payment and hands the customer to the gateway; the order endpoint reports what the payment is doing; the journey shows it and offers a way to pay; and the kitchen no longer cooks food nobody has paid for. Includes the two redirect URLs that were per-deployment when the page to return to is per-order</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29</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Password reset, reachable</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reset flow had no way in — no “forgot your password” anywhere on the site. The request and completion screens, arrival straight from the emailed link, and a link in the message instead of 43 characters to retype</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31</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Loyalty, corrected</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Points were credited when an order was placed, so a signed-in customer could place one, take the points and cancel it — and it contradicted the rewards page, which says they post on completion. They now post on the completion transition, once, in the order store where both callers reach it, with the credit and the record that it happened in one state write. Plus the rewards page, which was showing this browser’s figure under the heading “your balance” while the account page showed the server’s: two numbers for one customer, and zero on a phone they had not ordered from</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32</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Availability from the till</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sync was built with the care that matters — an unreachable till returns null rather than an empty list, so a hiccup at the kitchen cannot put every sold-out item back on sale — and nothing called it. Now reachable from the console, replacing rather than merging, because the till is the source of truth for what has run out</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33</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Offer conditions, enforced</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Every promotion advertised its terms as a sentence and nothing checked any of them: an offer sold as “Every Wednesday, 11:00 to close” took its discount at any hour on any day, one sold as collection only worked on a delivery, and one sold as “New accounts, one use” worked for anybody repeatedly. Each offer now carries its conditions in a form the checkout can check as well as a form the customer can read, enforced on the server. The discount also comes off the product the offer names rather than the whole basket — “twenty percent off every sauced wing” was taking twenty percent off the chicken and the drinks beside them</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34</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Trading hours, enforced</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site had displayed “Open” and “Closed” from the day it was built and checked neither, so an order at three in the morning was accepted, priced, confirmed and sent to a kitchen nobody was standing in. Refused on the server with the store’s own hours, and said on the checkout screen before the form rather than after it. Includes consolidating the two SAST clocks into one, and pinning the suite to a fixed moment — thirteen files place an order through the real route and had been passing all day and failing after 22:00</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35</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The driver’s estimate</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Uber sends an ETA on every courier position update; the webhook parsed it into a typed field and dropped it, so the journey showed the window quoted at checkout — a constant — for as long as a customer waited. Recorded before the status is read, because the events carrying an estimate are the ones that move no state; not put back onto a finished order; and labelled on the screen, because “from your driver” is a different promise from one made before anybody was dispatched</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36</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The screens for when things break</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There were none: the product route calls notFound() deliberately, so a bad URL reached the framework’s bare default, and any render error showed a white page reading “Application error”. A branded 404 with somewhere to go, an error boundary that offers a retry first and shows an opaque reference for a telephone call, and a last-resort page that renders its own document because the root layout is what has failed. The accessibility scans now read the pages as well as the components</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37</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The rewards ladder</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Three tiers were listed on the page and nothing worked out which one a customer had reached. The standing, the gap to the next rung, the boundary at the threshold rather than one point past it, and a note in the code for whoever wires in-store redemption — the tiers are lifetime points and the figure is a balance, which are the same number only while nothing spends them</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38</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Review-build parity</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single-file review build showed a five-tab console after the product grew to seven, so a reviewer counting tabs would conclude two features did not exist. The two panels added, saying honestly that this build has no gateway and no till rather than showing invented rows, and a test holding the two tab lists equal in both directions while leaving the panels free to differ</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30</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An operations console that can act</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Problems tab named an action — “worth retrying” — and did not provide it, and the suppression list offered nothing at all. A retry that refuses to send a handoff twice and refuses one the adapter called final, a restore that undoes a bounce but never a complaint, both reporting what happened rather than refreshing a list that looks unchanged. Plus the payment ledger, which was settled and reconciled by tests and shown to nobody, with the provider reference an operator needs to find a payment in the gateway’s dashboard</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39</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Review-build drift</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single-file build is a second implementation of the same rules, and five of them had drifted: it took an offer’s discount at any hour on any day, took it off the whole basket rather than the product the offer names, accepted an order from a closed store, and worked out a rewards tier its own way. Each rule now comes from the same source the site uses, and the generator carries the conditions through rather than dropping them</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40</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The shared fixtures, and what writing them exposed</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 suite that builds its own preconditions inline drifts: five files had each written a delivery order by hand, between them inventing four street names and forgetting the postal code twice — so two tests were checking a 400 rather than the thing they meant to. 51 files now build orders, accounts, payments and offers through one set of fixtures. The value was less in the tidying than in what it turned up: a fixture that could not be written honestly was, every time, a seam that did not work</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41</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The refund path</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Enumerating the payment states nothing could produce found one: the ledger had a refunded state, the type allowed it, and no code path anywhere could reach it. An operator-only endpoint that asks the gateway first and writes the ledger only if it agrees, four refusals that each say which of them applies, a message to the customer, and the customer’s own screen — which had been offering to take payment a second time on an order that had already been refunded</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42</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The states the suites could not reach</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Eight reachable states no test had ever put the application into, found by walking the state machine rather than by reading the tests. One of them was a defect: the advance endpoint answered 200 to an order it had not moved, so a console button reported success on a cancelled order and two side effects fired on a non-move. They were idempotent, which is why it was invisible rather than expensive — luck holding a mistake up</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43</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Two handoffs that were not safe against a second caller</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guard against pushing an order to the till twice read the record, awaited the adapter, and then wrote — so two callers arriving together both found no success and both pushed, which a kitchen reads as two of everything. Reachable: the console has a retry button and the advance route asks for a courier when an order reaches ready. The claim is now taken atomically before the call and released if it fails, for both the till handoff and the refund</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44</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Surviving a state file that is not the shape it should be</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store merged whatever it read from disk over its defaults, so a file where a list had become a string or an object crashed on the first read rather than falling back — a half-written file after a power cut, or a hand-edit, taking the site down instead of the record. Lists that arrive as something other than lists are now replaced by the default, at the top level and in each group</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45</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Authorisation held against the routes rather than against memory</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Every console write was guarded and every account endpoint scoped to its session, and that was true because somebody had remembered each time. The failure mode is a route added in a hurry with the guard left off, which works perfectly in testing — it is the absence of a refusal that is the bug. Now a test, checked per handler rather than per file, with the endpoints that are open by design listed by name with the reason beside each</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51</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Money taken for orders that were called off</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Cancelling an order writes a status and a reason and does nothing about the payment. That much is right — whether to refund, and how quickly, is the franchisor’s decision, and a cancellation for suspected fraud is not the same as one for a kitchen that lost power, so nothing here refunds anything on its own. What was wrong is that nobody was told: the order said cancelled, the payment said captured, and the Problems tab — which reports handoffs the kitchen never acknowledged and addresses we have stopped emailing — had no row for a customer who had paid for food that will never arrive. The refund endpoint had been built two workstreams earlier and nothing pointed at the orders that needed it. Now a third report beside the other two, counted in the tab’s badge, with the amount, the reason the order was called off, the gateway reference an operator needs to find the payment, and the refund button that already existed. The review build carries the third panel too, saying it has no gateway rather than showing an invented row or leaving the heading out — a reviewer reading two headings where the site has three concludes the feature does not exist. It lists only captured payments, because a report that also named the ones already refunded is the report nobody reads. Includes a smaller find alongside it: the password-reset email was keyed on the first twelve characters of the live reset token, putting them in the state file in plain text — beside a list that deliberately stores only a hash and says why. Keyed on a hash of the token instead, which varies with it exactly as well and carries none of it</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50</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Claims that outlive the process holding them</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Two operations call somebody else’s server in the middle of a read-modify-write — pushing an order to the till, refunding a payment — and both took a claim first so two callers could not both act. Both claims were bare keys in the state file, removed by a line that only runs if the process reaches it. The comment on one said an abandoned claim would be “recovered by the next deployment”, which sounded like a plan and was simply untrue: the claims are in a file, and a restart reads them straight back. A process that died mid-call left the order permanently stuck — never sent to the till, every retry answered “already being attempted”, and absent from the shortfall report because nothing had failed, so the one screen whose job is to list orders the kitchen never saw showed nothing. The refund was worse: it answered success while the payment sat there captured, for ever. Claims now carry the moment they were taken and expire, so an abandoned one recovers itself without anybody running a sweep; permanence moved to where it belongs, on the payment intent. Includes the Postgres table, and the migration is also the recovery — a claim written before claims had a time on them is treated as expired, which is exactly what the stuck ones are</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49</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What the logs carry out of the building</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redactor reduces an email to its domain and a mobile to its last two digits, matched on the field name — and the bounce webhook logs a field called “recipient”, which was not on the list. Two lines a bounce went to stdout reading {"event":"email.suppressed","recipient":"thandi@example.com"}: an address, plus the fact that its owner had complained. Worse than the same leak into the audit log, and the reason it was worth a round of its own: erasure can rewrite a file this process owns and can never reach a log aggregator, so a line written there is written for good. The name list is fixed, and an address is now reduced whatever the field is called, since the next field to hold one will be named something else again. Numbers are deliberately not guessed at by shape — a courier reference can be ten digits — and that asymmetry is asserted rather than left to be discovered. Held by a standing guard rather than a test: every one of the suite’s test files now runs with a sink that fails if any log line anywhere carries the fixture customer’s address, name or number, so the question asked is not “does this call site redact” but “did nine hundred tests driving every route put a person into a log”</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48</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The edges of the money</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An order for a trillion pieces of chicken was accepted with a 201. The quantity on a line had no upper bound, so the total came back as 18,900,000,000,000,000 cents — a number on which Number.isSafeInteger returns false, meaning the arithmetic had left the range where a JavaScript integer is exact — and the loyalty ledger stood ready to credit 189 trillion points on completion. A five-thousand-line basket was accepted too. Nothing was wrong with the sums; nothing had been asked to refuse the inputs. Bounds on both, shared by the schema and the basket so a customer meets a stepper that stops rather than a 400 three screens later, with tests that check not only that the limits hold but that at the very top of what they allow every total is still exact and the margin is a thousandfold — so raising one is a decision somebody makes with the consequence in front of them. Includes the refusal message: every rule in the order schema carries wording written for the person who broke it, and the route was replacing all of them with the words "Invalid order" while attaching the real reasons under a key no client ever read. The registration route had worked this out already and said so in its own comment. The review build had drifted the same way and was fixed with it: its basket added without a ceiling, so a reviewer could put five hundred birds in one and never meet the limit a customer would. The bounds are now carried into it from the site rather than written a second time, which needed them moved to a module that imports nothing — the generator reads these sources as raw TypeScript, and a file reaching for zod through an extensionless import is a file it cannot read, which is exactly how a second implementation ends up with its own copy of a number</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47</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Erasure that reaches the whole file</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 customer who asked to be forgotten was still on record at the house they live in. Erasure replaced the name, the email and the mobile on each past order and walked straight past the street and the postal code beside them; the kitchen note — free text, where somebody types “ring the bell for flat 4B and ask for Thandi” — was left as well, and the audit log had been writing the email address and mobile number into a line per message all along. The existing test passed throughout, because it checked one field on a collection order, which is the one kind of order with no address on it. Now asked as “is any of this person anywhere in the state”, which is the question erasure has to answer. The suppression record is the one thing kept, deliberately and with a test saying why: it is what stops the next campaign emailing somebody who asked not to be. The access request reports it too, having previously named four tables and held five</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54</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“We deliver there”, and then we did not</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Checkout asks one endpoint whether an address can be delivered to, and that endpoint was answering a different question: whether *any* branch delivers there. The three branches have disjoint zone lists — Cresta covers Randburg and Northcliff, Fourways covers Fourways and Lonehill, Waterfall covers Midrand — so a customer with one branch selected who typed a suburb belonging to another was told “We deliver there. About 45 minutes”, filled in the rest of checkout, and was refused at placement: “Cresta Crossing does not deliver to Fourways.” The order route had always asked the narrow question and was right; the quote was asking the wide one. The test fixture that supplies these suburbs had the case written on it the whole time — “an order for a real suburb that a real store delivers to, sent to the store that does not” — and nothing had ever put it to the quote endpoint. The quote now answers for the branch it is told about, and when another branch covers the address the refusal says which one, because “we do not deliver to this suburb yet” is simply false there and loses a sale that needed the customer to change branch and nothing else. Checkout offers that switch as a button beside the field rather than describing it, since the branch buttons are a step back behind a half-completed form. Asking without naming a branch still answers the wide question, which is the one the stores page asks. Held by a standing test that drives every delivery suburb of every branch through both endpoints in both directions: anything the quote calls serviceable, the order route takes, and anything it refuses, the order route refuses too. Includes the delivery fee, which this endpoint worked out with the free-delivery threshold written a second time beside the function that exists to answer exactly that — the two agreed only because both read the same seed constant, and every fee in that seed is a [CONFIRM] placeholder, so the day real numbers arrive is the day a second copy starts quoting one price and charging another. The review build had the same defect for the same reason and now asks the same question, including dropping a quote that has stopped meaning anything the moment the branch changes</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53</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Ordering the same thing again, some time later</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Both reorder buttons — the one on the journey screen and the one in the account’s order history — walked a past order’s lines and put each one straight into the basket: the name it had then, the options it had then, and the price it cost then. Nothing asked the catalogue whether any of that was still true. The order route does ask — it prices every line again and refuses a basket whose numbers disagree — and its own comment had already named the customer’s half of that case: "a basket built before a price changed, and a customer in the second case is owed the news rather than a different amount at the till." They were owed the news; what they got was one button, four screens of checkout, and a 409 at the end naming slugs. Two of the three ways this happens are reachable from the console today, by an operator marking something sold out or hiding it. The third arrives the day the franchisor replaces the [CONFIRM] prices, which is every price in the catalogue at once — after which every past order held in every customer’s browser is a basket that cannot be ordered. So there is now an endpoint that answers what a basket built earlier is worth now, per line rather than all-or-nothing: a line whose price has moved goes in at today’s price and is named, because the customer still wants the food and must simply not meet the new number for the first time at the till; a line that sold out or left the menu is left out and named, because there is nothing to keep. The pricing rule is not repeated to do it — the per-line half was lifted out of the check the order route already runs, so there is one answer to what a line costs and the two callers differ only in what they do with a disagreement. Doing the arithmetic in the browser instead would have been a second implementation of the option deltas, and a delta can be negative, so a copy that drifts does not show a wrong number, it shows a cheaper one. The order route is unchanged and still refuses: this is how a customer finds out before checkout rather than a way around the check. The review build had drifted the same way and one step further — it looked each item up in the whole product list rather than the menu, so a hidden item came back, and it never asked whether anything had sold out, meaning a reviewer could mark something sold out in its own console and watch it reappear in the basket. Same rule there now, and it says what it left out</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r>
      <w:tr>
        <w:tc>
          <w:tcPr>
            <w:tcW w:type="dxa" w:w="48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52</w:t>
            </w:r>
          </w:p>
        </w:tc>
        <w:tc>
          <w:tcPr>
            <w:tcW w:type="dxa" w:w="308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What a refusal says, and to whom</w:t>
            </w:r>
          </w:p>
        </w:tc>
        <w:tc>
          <w:tcPr>
            <w:tcW w:type="dxa" w:w="510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Every other round asked whether the application does the right thing; this one asked what it says when it has decided not to — because a refusal is the one string in the system written under pressure, by whoever was closest to the failure, and sent straight to a stranger’s screen with nobody reviewing it. Three findings, all the same mistake. The delivery quote — the first refusal most customers meet, since it decides whether they can have it delivered at all — answered “Invalid quote request” and attached the validator’s own issue objects under a key no client has ever read, while the rule they had actually broken carried the sentence “Enter your suburb” and nobody ever saw it. Registering on a build with no session secret answered correctly and then named the environment variable that was missing and how long it has to be, to any anonymous caller: nobody who can act on that is reading an HTTP response, and the health endpoint one rung away has the rule written above it — whether each thing is present, and not one word more. And the order journey put the message off any Error on screen, which is every failure there is: a fetch that cannot leave the machine throws “Failed to fetch”, a response that does not match its schema throws a JSON dump of issue objects, and both were rendered into the payment panel under a heading about somebody’s dinner, while checkout and the account screens next door had narrowed to this application’s own error type all along. Each fix is small and each is now a rule rather than a patch: no route ships the validator’s notes, no response body names an environment variable, no screen reads a message off a bare Error — checked across every route and every component, over source with its comments stripped, because two suites have already been caught writing a rule that fails on the paragraph explaining it. Includes the flake that surfaced while running the gate: the lock suite’s control races four real processes without the lock and asserts they lose an increment, which is what makes the locked test above it mean anything — but on a loaded machine the four spawns can stagger far enough to serialise, and a perfect count came back on a change that touched nothing in that file, turning the whole verification gate red. It now races several times and fails only if not one race loses anything, which is what the claim always meant and is the difference between a claim and a coin toss</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r>
      <w:tr>
        <w:tc>
          <w:tcPr>
            <w:tcW w:type="dxa" w:w="48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46</w:t>
            </w:r>
          </w:p>
        </w:tc>
        <w:tc>
          <w:tcPr>
            <w:tcW w:type="dxa" w:w="308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What the order endpoints tell a stranger</w:t>
            </w:r>
          </w:p>
        </w:tc>
        <w:tc>
          <w:tcPr>
            <w:tcW w:type="dxa" w:w="510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journey screen is reachable with an order id and no session, which it has to be — a guest has no account to sign into. It was answering with the whole record: the customer’s name, their email address, their mobile number and, on a delivery, the street and postal code where they live, to anyone holding a number of the form O-clock-sequence. The screens between them read eleven fields and were being sent twenty. Narrowed by an allowlist, so a field added later stays behind the counter until somebody decides otherwise, and held there by a test that searches the response for the customer’s own details rather than for the name of a field</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r>
      <w:tr>
        <w:tc>
          <w:tcPr>
            <w:tcW w:type="dxa" w:w="482"/>
            <w:tcBorders>
              <w:top w:val="single" w:color="D6CFC6" w:sz="4"/>
              <w:left w:val="single" w:color="D6CFC6" w:sz="4"/>
              <w:bottom w:val="single" w:color="D6CFC6" w:sz="4"/>
              <w:right w:val="single" w:color="D6CFC6" w:sz="4"/>
            </w:tcBorders>
            <w:shd w:fill="FCE8EB" w:color="auto" w:val="clear"/>
            <w:tcMar>
              <w:top w:type="dxa" w:w="90"/>
              <w:left w:type="dxa" w:w="130"/>
              <w:bottom w:type="dxa" w:w="90"/>
              <w:right w:type="dxa" w:w="130"/>
            </w:tcMar>
            <w:vAlign w:val="center"/>
          </w:tcPr>
          <w:p>
            <w:pPr>
              <w:spacing w:after="0" w:line="240"/>
              <w:jc w:val="center"/>
            </w:pPr>
            <w:r>
              <w:rPr>
                <w:rFonts w:ascii="Calibri" w:cs="Calibri" w:eastAsia="Calibri" w:hAnsi="Calibri"/>
                <w:b/>
                <w:bCs/>
                <w:i w:val="false"/>
                <w:iCs w:val="false"/>
                <w:color w:val="221E1F"/>
                <w:sz w:val="20"/>
                <w:szCs w:val="20"/>
              </w:rPr>
              <w:t xml:space="preserve"/>
            </w:r>
          </w:p>
        </w:tc>
        <w:tc>
          <w:tcPr>
            <w:tcW w:type="dxa" w:w="3084"/>
            <w:tcBorders>
              <w:top w:val="single" w:color="D6CFC6" w:sz="4"/>
              <w:left w:val="single" w:color="D6CFC6" w:sz="4"/>
              <w:bottom w:val="single" w:color="D6CFC6" w:sz="4"/>
              <w:right w:val="single" w:color="D6CFC6" w:sz="4"/>
            </w:tcBorders>
            <w:shd w:fill="FCE8EB"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Total</w:t>
            </w:r>
          </w:p>
        </w:tc>
        <w:tc>
          <w:tcPr>
            <w:tcW w:type="dxa" w:w="5108"/>
            <w:tcBorders>
              <w:top w:val="single" w:color="D6CFC6" w:sz="4"/>
              <w:left w:val="single" w:color="D6CFC6" w:sz="4"/>
              <w:bottom w:val="single" w:color="D6CFC6" w:sz="4"/>
              <w:right w:val="single" w:color="D6CFC6" w:sz="4"/>
            </w:tcBorders>
            <w:shd w:fill="FCE8EB"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Delivered scope</w:t>
            </w:r>
          </w:p>
        </w:tc>
        <w:tc>
          <w:tcPr>
            <w:tcW w:type="dxa" w:w="964"/>
            <w:tcBorders>
              <w:top w:val="single" w:color="D6CFC6" w:sz="4"/>
              <w:left w:val="single" w:color="D6CFC6" w:sz="4"/>
              <w:bottom w:val="single" w:color="D6CFC6" w:sz="4"/>
              <w:right w:val="single" w:color="D6CFC6" w:sz="4"/>
            </w:tcBorders>
            <w:shd w:fill="FCE8EB"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221E1F"/>
                <w:sz w:val="20"/>
                <w:szCs w:val="20"/>
              </w:rPr>
              <w:t xml:space="preserve">228</w:t>
            </w:r>
          </w:p>
        </w:tc>
      </w:tr>
    </w:tbl>
    <w:p>
      <w:pPr>
        <w:spacing w:after="120" w:before="0" w:line="264"/>
      </w:pPr>
      <w:r>
        <w:rPr>
          <w:rFonts w:ascii="Calibri" w:cs="Calibri" w:eastAsia="Calibri" w:hAnsi="Calibri"/>
          <w:b w:val="false"/>
          <w:bCs w:val="false"/>
          <w:i w:val="false"/>
          <w:iCs w:val="false"/>
          <w:color w:val="221E1F"/>
          <w:sz w:val="20"/>
          <w:szCs w:val="20"/>
        </w:rPr>
        <w:t xml:space="preserve"/>
      </w:r>
    </w:p>
    <w:p>
      <w:pPr>
        <w:spacing w:after="120" w:before="0" w:line="264"/>
      </w:pPr>
      <w:r>
        <w:rPr>
          <w:rFonts w:ascii="Calibri" w:cs="Calibri" w:eastAsia="Calibri" w:hAnsi="Calibri"/>
          <w:b/>
          <w:bCs/>
          <w:i w:val="false"/>
          <w:iCs w:val="false"/>
          <w:color w:val="221E1F"/>
          <w:sz w:val="20"/>
          <w:szCs w:val="20"/>
        </w:rPr>
        <w:t xml:space="preserve">Cross-check. </w:t>
      </w:r>
      <w:r>
        <w:rPr>
          <w:rFonts w:ascii="Calibri" w:cs="Calibri" w:eastAsia="Calibri" w:hAnsi="Calibri"/>
          <w:b w:val="false"/>
          <w:bCs w:val="false"/>
          <w:i w:val="false"/>
          <w:iCs w:val="false"/>
          <w:color w:val="221E1F"/>
          <w:sz w:val="20"/>
          <w:szCs w:val="20"/>
        </w:rPr>
        <w:t xml:space="preserve">36,585 hand-written lines over 228 days is about 160 a day. For tested, typed, reviewed production code that sits inside the normal 100–300 band, and lower than the 200 the first version of this document reconstructed — integration work carries more test and less code than storefront work does. The reconstruction is not inflated.</w:t>
      </w:r>
    </w:p>
    <w:p>
      <w:pPr>
        <w:spacing w:after="120" w:before="0" w:line="264"/>
      </w:pPr>
      <w:r>
        <w:rPr>
          <w:rFonts w:ascii="Calibri" w:cs="Calibri" w:eastAsia="Calibri" w:hAnsi="Calibri"/>
          <w:b w:val="false"/>
          <w:bCs w:val="false"/>
          <w:i w:val="false"/>
          <w:iCs w:val="false"/>
          <w:color w:val="221E1F"/>
          <w:sz w:val="20"/>
          <w:szCs w:val="20"/>
        </w:rPr>
        <w:t xml:space="preserve">228 days is roughly 27 working weeks, or a little over six months for one person. Two people working in parallel would compress the calendar but not the total, and would add coordination cost.</w:t>
      </w:r>
    </w:p>
    <w:p>
      <w:r>
        <w:br w:type="page"/>
      </w:r>
    </w:p>
    <w:p>
      <w:pPr>
        <w:pStyle w:val="Heading1"/>
        <w:spacing w:after="180" w:before="360"/>
      </w:pPr>
      <w:r>
        <w:rPr>
          <w:rFonts w:ascii="Calibri" w:cs="Calibri" w:eastAsia="Calibri" w:hAnsi="Calibri"/>
          <w:b/>
          <w:bCs/>
          <w:color w:val="E31937"/>
          <w:sz w:val="30"/>
          <w:szCs w:val="30"/>
        </w:rPr>
        <w:t xml:space="preserve">5. Costings for what has been built</w:t>
      </w:r>
    </w:p>
    <w:p>
      <w:pPr>
        <w:spacing w:after="120" w:before="0" w:line="264"/>
      </w:pPr>
      <w:r>
        <w:rPr>
          <w:rFonts w:ascii="Calibri" w:cs="Calibri" w:eastAsia="Calibri" w:hAnsi="Calibri"/>
          <w:b/>
          <w:bCs/>
          <w:i w:val="false"/>
          <w:iCs w:val="false"/>
          <w:color w:val="221E1F"/>
          <w:sz w:val="20"/>
          <w:szCs w:val="20"/>
        </w:rPr>
        <w:t xml:space="preserve">The rate is an input. </w:t>
      </w:r>
      <w:r>
        <w:rPr>
          <w:rFonts w:ascii="Calibri" w:cs="Calibri" w:eastAsia="Calibri" w:hAnsi="Calibri"/>
          <w:b w:val="false"/>
          <w:bCs w:val="false"/>
          <w:i w:val="false"/>
          <w:iCs w:val="false"/>
          <w:color w:val="221E1F"/>
          <w:sz w:val="20"/>
          <w:szCs w:val="20"/>
        </w:rPr>
        <w:t xml:space="preserve">The table below is not a quote and does not reflect any rate card Magugu Nzimande has approved. It shows what the delivered scope costs at a range of rates, so the correct figure can be read off once the rate is chosen.</w:t>
      </w:r>
    </w:p>
    <w:p>
      <w:pPr>
        <w:spacing w:after="120" w:before="0" w:line="264"/>
      </w:pPr>
      <w:r>
        <w:rPr>
          <w:rFonts w:ascii="Calibri" w:cs="Calibri" w:eastAsia="Calibri" w:hAnsi="Calibri"/>
          <w:b w:val="false"/>
          <w:bCs w:val="false"/>
          <w:i w:val="false"/>
          <w:iCs w:val="false"/>
          <w:color w:val="221E1F"/>
          <w:sz w:val="20"/>
          <w:szCs w:val="20"/>
        </w:rPr>
        <w:t xml:space="preserve">Delivered scope: 228 days × 8 hours = 1824 hours.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3"/>
      </w:tblGrid>
      <w:tr>
        <w:trPr>
          <w:tblHeader/>
        </w:trPr>
        <w:tc>
          <w:tcPr>
            <w:tcW w:type="dxa" w:w="2891"/>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Blended hourly rate</w:t>
            </w:r>
          </w:p>
        </w:tc>
        <w:tc>
          <w:tcPr>
            <w:tcW w:type="dxa" w:w="3373"/>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FFFFFF"/>
                <w:sz w:val="19"/>
                <w:szCs w:val="19"/>
              </w:rPr>
              <w:t xml:space="preserve">Cost of the 1824 hours (excl. VAT)</w:t>
            </w:r>
          </w:p>
        </w:tc>
        <w:tc>
          <w:tcPr>
            <w:tcW w:type="dxa" w:w="3373"/>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FFFFFF"/>
                <w:sz w:val="19"/>
                <w:szCs w:val="19"/>
              </w:rPr>
              <w:t xml:space="preserve">Including VAT at 15%</w:t>
            </w:r>
          </w:p>
        </w:tc>
      </w:tr>
      <w:tr>
        <w:tc>
          <w:tcPr>
            <w:tcW w:type="dxa" w:w="289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R 400 / hour</w:t>
            </w:r>
          </w:p>
        </w:tc>
        <w:tc>
          <w:tcPr>
            <w:tcW w:type="dxa" w:w="3373"/>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729,600</w:t>
            </w:r>
          </w:p>
        </w:tc>
        <w:tc>
          <w:tcPr>
            <w:tcW w:type="dxa" w:w="3373"/>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839,040</w:t>
            </w:r>
          </w:p>
        </w:tc>
      </w:tr>
      <w:tr>
        <w:tc>
          <w:tcPr>
            <w:tcW w:type="dxa" w:w="289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R 650 / hour</w:t>
            </w:r>
          </w:p>
        </w:tc>
        <w:tc>
          <w:tcPr>
            <w:tcW w:type="dxa" w:w="3373"/>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1,185,600</w:t>
            </w:r>
          </w:p>
        </w:tc>
        <w:tc>
          <w:tcPr>
            <w:tcW w:type="dxa" w:w="3373"/>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1,363,440</w:t>
            </w:r>
          </w:p>
        </w:tc>
      </w:tr>
      <w:tr>
        <w:tc>
          <w:tcPr>
            <w:tcW w:type="dxa" w:w="289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R 850 / hour</w:t>
            </w:r>
          </w:p>
        </w:tc>
        <w:tc>
          <w:tcPr>
            <w:tcW w:type="dxa" w:w="3373"/>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1,550,400</w:t>
            </w:r>
          </w:p>
        </w:tc>
        <w:tc>
          <w:tcPr>
            <w:tcW w:type="dxa" w:w="3373"/>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1,782,960</w:t>
            </w:r>
          </w:p>
        </w:tc>
      </w:tr>
      <w:tr>
        <w:tc>
          <w:tcPr>
            <w:tcW w:type="dxa" w:w="289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R 950 / hour</w:t>
            </w:r>
          </w:p>
        </w:tc>
        <w:tc>
          <w:tcPr>
            <w:tcW w:type="dxa" w:w="3373"/>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221E1F"/>
                <w:sz w:val="20"/>
                <w:szCs w:val="20"/>
              </w:rPr>
              <w:t xml:space="preserve">R 1,732,800</w:t>
            </w:r>
          </w:p>
        </w:tc>
        <w:tc>
          <w:tcPr>
            <w:tcW w:type="dxa" w:w="3373"/>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221E1F"/>
                <w:sz w:val="20"/>
                <w:szCs w:val="20"/>
              </w:rPr>
              <w:t xml:space="preserve">R 1,992,720</w:t>
            </w:r>
          </w:p>
        </w:tc>
      </w:tr>
      <w:tr>
        <w:tc>
          <w:tcPr>
            <w:tcW w:type="dxa" w:w="289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R 1,150 / hour</w:t>
            </w:r>
          </w:p>
        </w:tc>
        <w:tc>
          <w:tcPr>
            <w:tcW w:type="dxa" w:w="3373"/>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2,097,600</w:t>
            </w:r>
          </w:p>
        </w:tc>
        <w:tc>
          <w:tcPr>
            <w:tcW w:type="dxa" w:w="3373"/>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2,412,240</w:t>
            </w:r>
          </w:p>
        </w:tc>
      </w:tr>
      <w:tr>
        <w:tc>
          <w:tcPr>
            <w:tcW w:type="dxa" w:w="289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R 1,450 / hour</w:t>
            </w:r>
          </w:p>
        </w:tc>
        <w:tc>
          <w:tcPr>
            <w:tcW w:type="dxa" w:w="3373"/>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2,644,800</w:t>
            </w:r>
          </w:p>
        </w:tc>
        <w:tc>
          <w:tcPr>
            <w:tcW w:type="dxa" w:w="3373"/>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3,041,520</w:t>
            </w:r>
          </w:p>
        </w:tc>
      </w:tr>
    </w:tbl>
    <w:p>
      <w:pPr>
        <w:spacing w:after="120" w:before="0" w:line="264"/>
      </w:pPr>
      <w:r>
        <w:rPr>
          <w:rFonts w:ascii="Calibri" w:cs="Calibri" w:eastAsia="Calibri" w:hAnsi="Calibri"/>
          <w:b w:val="false"/>
          <w:bCs w:val="false"/>
          <w:i w:val="false"/>
          <w:iCs w:val="false"/>
          <w:color w:val="221E1F"/>
          <w:sz w:val="20"/>
          <w:szCs w:val="20"/>
        </w:rPr>
        <w:t xml:space="preserve"/>
      </w:r>
    </w:p>
    <w:p>
      <w:pPr>
        <w:spacing w:after="120" w:before="0" w:line="264"/>
      </w:pPr>
      <w:r>
        <w:rPr>
          <w:rFonts w:ascii="Calibri" w:cs="Calibri" w:eastAsia="Calibri" w:hAnsi="Calibri"/>
          <w:b/>
          <w:bCs/>
          <w:i w:val="false"/>
          <w:iCs w:val="false"/>
          <w:color w:val="221E1F"/>
          <w:sz w:val="20"/>
          <w:szCs w:val="20"/>
        </w:rPr>
        <w:t xml:space="preserve">Worked example. </w:t>
      </w:r>
      <w:r>
        <w:rPr>
          <w:rFonts w:ascii="Calibri" w:cs="Calibri" w:eastAsia="Calibri" w:hAnsi="Calibri"/>
          <w:b w:val="false"/>
          <w:bCs w:val="false"/>
          <w:i w:val="false"/>
          <w:iCs w:val="false"/>
          <w:color w:val="221E1F"/>
          <w:sz w:val="20"/>
          <w:szCs w:val="20"/>
        </w:rPr>
        <w:t xml:space="preserve">At an illustrative blended rate of R 950 an hour — chosen here only to make the rest of the document concrete — the delivered scope comes to R 1,732,800 excluding VAT, or R 1,992,720 including it. Replace the rate and every figure below moves proportionally.</w:t>
      </w:r>
    </w:p>
    <w:p>
      <w:pPr>
        <w:pStyle w:val="Heading2"/>
        <w:spacing w:after="120" w:before="280"/>
      </w:pPr>
      <w:r>
        <w:rPr>
          <w:rFonts w:ascii="Calibri" w:cs="Calibri" w:eastAsia="Calibri" w:hAnsi="Calibri"/>
          <w:b/>
          <w:bCs/>
          <w:color w:val="221E1F"/>
          <w:sz w:val="24"/>
          <w:szCs w:val="24"/>
        </w:rPr>
        <w:t xml:space="preserve">5.1 The same figure broken down by workstream, at R 950 / hour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1"/>
        <w:gridCol w:w="1157"/>
        <w:gridCol w:w="1542"/>
        <w:gridCol w:w="1638"/>
      </w:tblGrid>
      <w:tr>
        <w:trPr>
          <w:tblHeader/>
        </w:trPr>
        <w:tc>
          <w:tcPr>
            <w:tcW w:type="dxa" w:w="5301"/>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Workstream</w:t>
            </w:r>
          </w:p>
        </w:tc>
        <w:tc>
          <w:tcPr>
            <w:tcW w:type="dxa" w:w="1157"/>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FFFFFF"/>
                <w:sz w:val="19"/>
                <w:szCs w:val="19"/>
              </w:rPr>
              <w:t xml:space="preserve">Days</w:t>
            </w:r>
          </w:p>
        </w:tc>
        <w:tc>
          <w:tcPr>
            <w:tcW w:type="dxa" w:w="1542"/>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FFFFFF"/>
                <w:sz w:val="19"/>
                <w:szCs w:val="19"/>
              </w:rPr>
              <w:t xml:space="preserve">Hours</w:t>
            </w:r>
          </w:p>
        </w:tc>
        <w:tc>
          <w:tcPr>
            <w:tcW w:type="dxa" w:w="1638"/>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FFFFFF"/>
                <w:sz w:val="19"/>
                <w:szCs w:val="19"/>
              </w:rPr>
              <w:t xml:space="preserve">Cost (excl. VAT)</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Foundation, monorepo and tooling</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32</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30,400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Design system and brand enforcement</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5</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40</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38,000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Catalogue, seed data and option engine</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6</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48</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45,600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Storefront routes</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10</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80</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76,000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API layer and order state machine</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8</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64</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60,800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Basket, configurator, checkout and order journey</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8</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64</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60,800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Operations console and authentication</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5</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40</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38,000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Automated test suite</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7</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56</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53,200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Image pipeline and food imagery</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6</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48</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45,600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Single-file review build</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24</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22,800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Documentation and handover</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24</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22,800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Audit, hardening and defect work</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5</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40</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38,000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Payment seam</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8</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64</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60,800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Customer accounts and POPIA</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10</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80</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76,000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Notifications and monitoring</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8</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64</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60,800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POS and courier seams</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18</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144</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136,800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Concurrent-write safety</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6</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48</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45,600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Accessibility and deployment</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7</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56</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53,200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Database schema and password reset</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7</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56</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53,200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Structured logging</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24</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22,800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Bounce handling and the shortfall reports</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24</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22,800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POS mapping and integration brief</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32</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30,400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Mailgun and Clickatell transports</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32</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30,400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Complete addresses and a container</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24</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22,800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Uber Direct adapter</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5</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40</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38,000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PayFast adapter</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32</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30,400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account interface</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24</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22,800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payment journey</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32</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30,400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Password reset, reachable</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16</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15,200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Loyalty, corrected</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24</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22,800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Availability from the till</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8</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7,600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Offer conditions, enforced</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32</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30,400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Trading hours, enforced</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16</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15,200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driver’s estimate</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8</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7,600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screens for when things break</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16</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15,200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rewards ladder</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8</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7,600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Review-build parity</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8</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7,600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An operations console that can act</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24</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22,800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Review-build drift</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16</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15,200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shared fixtures, and what writing them exposed</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24</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22,800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refund path</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32</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30,400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states the suites could not reach</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16</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15,200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Two handoffs that were not safe against a second caller</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16</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15,200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Surviving a state file that is not the shape it should be</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8</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7,600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Authorisation held against the routes rather than against memory</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16</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15,200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Money taken for orders that were called off</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24</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22,800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Claims that outlive the process holding them</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24</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22,800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What the logs carry out of the building</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24</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22,800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edges of the money</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32</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30,400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Erasure that reaches the whole file</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24</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22,800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“We deliver there”, and then we did not</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16</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15,200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Ordering the same thing again, some time later</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24</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22,800</w:t>
            </w:r>
          </w:p>
        </w:tc>
      </w:tr>
      <w:tr>
        <w:tc>
          <w:tcPr>
            <w:tcW w:type="dxa" w:w="530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What a refusal says, and to whom</w:t>
            </w:r>
          </w:p>
        </w:tc>
        <w:tc>
          <w:tcPr>
            <w:tcW w:type="dxa" w:w="115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c>
          <w:tcPr>
            <w:tcW w:type="dxa" w:w="1542"/>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16</w:t>
            </w:r>
          </w:p>
        </w:tc>
        <w:tc>
          <w:tcPr>
            <w:tcW w:type="dxa" w:w="163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15,200</w:t>
            </w:r>
          </w:p>
        </w:tc>
      </w:tr>
      <w:tr>
        <w:tc>
          <w:tcPr>
            <w:tcW w:type="dxa" w:w="530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What the order endpoints tell a stranger</w:t>
            </w:r>
          </w:p>
        </w:tc>
        <w:tc>
          <w:tcPr>
            <w:tcW w:type="dxa" w:w="115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c>
          <w:tcPr>
            <w:tcW w:type="dxa" w:w="1542"/>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16</w:t>
            </w:r>
          </w:p>
        </w:tc>
        <w:tc>
          <w:tcPr>
            <w:tcW w:type="dxa" w:w="163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15,200</w:t>
            </w:r>
          </w:p>
        </w:tc>
      </w:tr>
      <w:tr>
        <w:tc>
          <w:tcPr>
            <w:tcW w:type="dxa" w:w="5301"/>
            <w:tcBorders>
              <w:top w:val="single" w:color="D6CFC6" w:sz="4"/>
              <w:left w:val="single" w:color="D6CFC6" w:sz="4"/>
              <w:bottom w:val="single" w:color="D6CFC6" w:sz="4"/>
              <w:right w:val="single" w:color="D6CFC6" w:sz="4"/>
            </w:tcBorders>
            <w:shd w:fill="FCE8EB"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Total delivered</w:t>
            </w:r>
          </w:p>
        </w:tc>
        <w:tc>
          <w:tcPr>
            <w:tcW w:type="dxa" w:w="1157"/>
            <w:tcBorders>
              <w:top w:val="single" w:color="D6CFC6" w:sz="4"/>
              <w:left w:val="single" w:color="D6CFC6" w:sz="4"/>
              <w:bottom w:val="single" w:color="D6CFC6" w:sz="4"/>
              <w:right w:val="single" w:color="D6CFC6" w:sz="4"/>
            </w:tcBorders>
            <w:shd w:fill="FCE8EB"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221E1F"/>
                <w:sz w:val="20"/>
                <w:szCs w:val="20"/>
              </w:rPr>
              <w:t xml:space="preserve">228</w:t>
            </w:r>
          </w:p>
        </w:tc>
        <w:tc>
          <w:tcPr>
            <w:tcW w:type="dxa" w:w="1542"/>
            <w:tcBorders>
              <w:top w:val="single" w:color="D6CFC6" w:sz="4"/>
              <w:left w:val="single" w:color="D6CFC6" w:sz="4"/>
              <w:bottom w:val="single" w:color="D6CFC6" w:sz="4"/>
              <w:right w:val="single" w:color="D6CFC6" w:sz="4"/>
            </w:tcBorders>
            <w:shd w:fill="FCE8EB"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221E1F"/>
                <w:sz w:val="20"/>
                <w:szCs w:val="20"/>
              </w:rPr>
              <w:t xml:space="preserve">1,824</w:t>
            </w:r>
          </w:p>
        </w:tc>
        <w:tc>
          <w:tcPr>
            <w:tcW w:type="dxa" w:w="1638"/>
            <w:tcBorders>
              <w:top w:val="single" w:color="D6CFC6" w:sz="4"/>
              <w:left w:val="single" w:color="D6CFC6" w:sz="4"/>
              <w:bottom w:val="single" w:color="D6CFC6" w:sz="4"/>
              <w:right w:val="single" w:color="D6CFC6" w:sz="4"/>
            </w:tcBorders>
            <w:shd w:fill="FCE8EB"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221E1F"/>
                <w:sz w:val="20"/>
                <w:szCs w:val="20"/>
              </w:rPr>
              <w:t xml:space="preserve">R 1,732,800</w:t>
            </w:r>
          </w:p>
        </w:tc>
      </w:tr>
    </w:tbl>
    <w:p>
      <w:pPr>
        <w:spacing w:after="120" w:before="0" w:line="264"/>
      </w:pPr>
      <w:r>
        <w:rPr>
          <w:rFonts w:ascii="Calibri" w:cs="Calibri" w:eastAsia="Calibri" w:hAnsi="Calibri"/>
          <w:b w:val="false"/>
          <w:bCs w:val="false"/>
          <w:i w:val="false"/>
          <w:iCs w:val="false"/>
          <w:color w:val="221E1F"/>
          <w:sz w:val="20"/>
          <w:szCs w:val="20"/>
        </w:rPr>
        <w:t xml:space="preserve"/>
      </w:r>
    </w:p>
    <w:p>
      <w:pPr>
        <w:spacing w:after="120" w:before="0" w:line="264"/>
      </w:pPr>
      <w:r>
        <w:rPr>
          <w:rFonts w:ascii="Calibri" w:cs="Calibri" w:eastAsia="Calibri" w:hAnsi="Calibri"/>
          <w:b w:val="false"/>
          <w:bCs w:val="false"/>
          <w:i w:val="false"/>
          <w:iCs w:val="false"/>
          <w:color w:val="221E1F"/>
          <w:sz w:val="20"/>
          <w:szCs w:val="20"/>
        </w:rPr>
        <w:t xml:space="preserve">The integration seams — payments, accounts, notifications, POS and courier — are 44 of the 228 days. None of them names a vendor, and none has to be rewritten when one is chosen: what remains per integration is an adapter against an interface that already exists and is already tested.</w:t>
      </w:r>
    </w:p>
    <w:p>
      <w:r>
        <w:br w:type="page"/>
      </w:r>
    </w:p>
    <w:p>
      <w:pPr>
        <w:pStyle w:val="Heading1"/>
        <w:spacing w:after="180" w:before="360"/>
      </w:pPr>
      <w:r>
        <w:rPr>
          <w:rFonts w:ascii="Calibri" w:cs="Calibri" w:eastAsia="Calibri" w:hAnsi="Calibri"/>
          <w:b/>
          <w:bCs/>
          <w:color w:val="E31937"/>
          <w:sz w:val="30"/>
          <w:szCs w:val="30"/>
        </w:rPr>
        <w:t xml:space="preserve">6. Cost to take it live</w:t>
      </w:r>
    </w:p>
    <w:p>
      <w:pPr>
        <w:spacing w:after="120" w:before="0" w:line="264"/>
      </w:pPr>
      <w:r>
        <w:rPr>
          <w:rFonts w:ascii="Calibri" w:cs="Calibri" w:eastAsia="Calibri" w:hAnsi="Calibri"/>
          <w:b w:val="false"/>
          <w:bCs w:val="false"/>
          <w:i w:val="false"/>
          <w:iCs w:val="false"/>
          <w:color w:val="221E1F"/>
          <w:sz w:val="20"/>
          <w:szCs w:val="20"/>
        </w:rPr>
        <w:t xml:space="preserve">What remains between this build and a site taking real orders. Effort is estimated on the same basis; the third-party column is deliberately unpriced.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964"/>
        <w:gridCol w:w="1928"/>
      </w:tblGrid>
      <w:tr>
        <w:trPr>
          <w:tblHeader/>
        </w:trPr>
        <w:tc>
          <w:tcPr>
            <w:tcW w:type="dxa" w:w="2891"/>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Workstream</w:t>
            </w:r>
          </w:p>
        </w:tc>
        <w:tc>
          <w:tcPr>
            <w:tcW w:type="dxa" w:w="3855"/>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What it involves</w:t>
            </w:r>
          </w:p>
        </w:tc>
        <w:tc>
          <w:tcPr>
            <w:tcW w:type="dxa" w:w="964"/>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FFFFFF"/>
                <w:sz w:val="19"/>
                <w:szCs w:val="19"/>
              </w:rPr>
              <w:t xml:space="preserve">Days</w:t>
            </w:r>
          </w:p>
        </w:tc>
        <w:tc>
          <w:tcPr>
            <w:tcW w:type="dxa" w:w="1928"/>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Third-party cost</w:t>
            </w:r>
          </w:p>
        </w:tc>
      </w:tr>
      <w:tr>
        <w:tc>
          <w:tcPr>
            <w:tcW w:type="dxa" w:w="289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PayFast sandbox and go-live</w:t>
            </w:r>
          </w:p>
        </w:tc>
        <w:tc>
          <w:tcPr>
            <w:tcW w:type="dxa" w:w="3855"/>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adapter is written and the checkout journey through it is built end to end. What is left needs a merchant account: confirming PayFast accepts our signature, then failure and retry testing against their sandbox</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c>
          <w:tcPr>
            <w:tcW w:type="dxa" w:w="192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iCs/>
                <w:color w:val="6E6660"/>
                <w:sz w:val="20"/>
                <w:szCs w:val="20"/>
              </w:rPr>
              <w:t xml:space="preserve">PayFast per-transaction fee</w:t>
            </w:r>
          </w:p>
        </w:tc>
      </w:tr>
      <w:tr>
        <w:tc>
          <w:tcPr>
            <w:tcW w:type="dxa" w:w="289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GAAP adapter and onboarding</w:t>
            </w:r>
          </w:p>
        </w:tc>
        <w:tc>
          <w:tcPr>
            <w:tcW w:type="dxa" w:w="3855"/>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mapping, the payload and the completeness rule are built. What is left needs GAAP’s integration specification and their per-store code list, neither of which is public — see POS_INTEGRATION_BRIEF.md</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4</w:t>
            </w:r>
          </w:p>
        </w:tc>
        <w:tc>
          <w:tcPr>
            <w:tcW w:type="dxa" w:w="192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iCs/>
                <w:color w:val="6E6660"/>
                <w:sz w:val="20"/>
                <w:szCs w:val="20"/>
              </w:rPr>
              <w:t xml:space="preserve">GAAP integration fee</w:t>
            </w:r>
          </w:p>
        </w:tc>
      </w:tr>
      <w:tr>
        <w:tc>
          <w:tcPr>
            <w:tcW w:type="dxa" w:w="289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Uber Direct onboarding</w:t>
            </w:r>
          </w:p>
        </w:tc>
        <w:tc>
          <w:tcPr>
            <w:tcW w:type="dxa" w:w="3855"/>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adapter is written and the address is complete. What is left needs an Uber Direct account: confirming they accept our dispatch</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c>
          <w:tcPr>
            <w:tcW w:type="dxa" w:w="192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iCs/>
                <w:color w:val="6E6660"/>
                <w:sz w:val="20"/>
                <w:szCs w:val="20"/>
              </w:rPr>
              <w:t xml:space="preserve">Uber commission per delivery</w:t>
            </w:r>
          </w:p>
        </w:tc>
      </w:tr>
      <w:tr>
        <w:tc>
          <w:tcPr>
            <w:tcW w:type="dxa" w:w="289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Persistent database</w:t>
            </w:r>
          </w:p>
        </w:tc>
        <w:tc>
          <w:tcPr>
            <w:tcW w:type="dxa" w:w="3855"/>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Provisioning a server and moving to it. The migration is written and checked against the state shape; concurrent-write safety is done</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c>
          <w:tcPr>
            <w:tcW w:type="dxa" w:w="192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iCs/>
                <w:color w:val="6E6660"/>
                <w:sz w:val="20"/>
                <w:szCs w:val="20"/>
              </w:rPr>
              <w:t xml:space="preserve">Managed database hosting</w:t>
            </w:r>
          </w:p>
        </w:tc>
      </w:tr>
      <w:tr>
        <w:tc>
          <w:tcPr>
            <w:tcW w:type="dxa" w:w="289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Mailgun and Clickatell onboarding</w:t>
            </w:r>
          </w:p>
        </w:tc>
        <w:tc>
          <w:tcPr>
            <w:tcW w:type="dxa" w:w="3855"/>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Both transports are written. What is left needs accounts: a verified sending domain with SPF and DKIM, a registered Clickatell sender id, and deliverability testing</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c>
          <w:tcPr>
            <w:tcW w:type="dxa" w:w="192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iCs/>
                <w:color w:val="6E6660"/>
                <w:sz w:val="20"/>
                <w:szCs w:val="20"/>
              </w:rPr>
              <w:t xml:space="preserve">Per-message cost</w:t>
            </w:r>
          </w:p>
        </w:tc>
      </w:tr>
      <w:tr>
        <w:tc>
          <w:tcPr>
            <w:tcW w:type="dxa" w:w="289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Privacy policy and legal review</w:t>
            </w:r>
          </w:p>
        </w:tc>
        <w:tc>
          <w:tcPr>
            <w:tcW w:type="dxa" w:w="3855"/>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Retention periods, consent copy, information officer; the endpoints exist and are tested</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c>
          <w:tcPr>
            <w:tcW w:type="dxa" w:w="192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iCs/>
                <w:color w:val="6E6660"/>
                <w:sz w:val="20"/>
                <w:szCs w:val="20"/>
              </w:rPr>
              <w:t xml:space="preserve">Legal review</w:t>
            </w:r>
          </w:p>
        </w:tc>
      </w:tr>
      <w:tr>
        <w:tc>
          <w:tcPr>
            <w:tcW w:type="dxa" w:w="289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Production monitoring and rollback</w:t>
            </w:r>
          </w:p>
        </w:tc>
        <w:tc>
          <w:tcPr>
            <w:tcW w:type="dxa" w:w="3855"/>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An error-tracking service on top of the health endpoint and the structured logs, and a tested rollback path</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c>
          <w:tcPr>
            <w:tcW w:type="dxa" w:w="192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iCs/>
                <w:color w:val="6E6660"/>
                <w:sz w:val="20"/>
                <w:szCs w:val="20"/>
              </w:rPr>
              <w:t xml:space="preserve">Tooling subscription</w:t>
            </w:r>
          </w:p>
        </w:tc>
      </w:tr>
      <w:tr>
        <w:tc>
          <w:tcPr>
            <w:tcW w:type="dxa" w:w="289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Deployment, domain, CDN and certificates</w:t>
            </w:r>
          </w:p>
        </w:tc>
        <w:tc>
          <w:tcPr>
            <w:tcW w:type="dxa" w:w="3855"/>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The container is written. What is left is a host to run it on, a domain, certificates and secrets management</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w:t>
            </w:r>
          </w:p>
        </w:tc>
        <w:tc>
          <w:tcPr>
            <w:tcW w:type="dxa" w:w="192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iCs/>
                <w:color w:val="6E6660"/>
                <w:sz w:val="20"/>
                <w:szCs w:val="20"/>
              </w:rPr>
              <w:t xml:space="preserve">Hosting and domain</w:t>
            </w:r>
          </w:p>
        </w:tc>
      </w:tr>
      <w:tr>
        <w:tc>
          <w:tcPr>
            <w:tcW w:type="dxa" w:w="289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Food photography integration</w:t>
            </w:r>
          </w:p>
        </w:tc>
        <w:tc>
          <w:tcPr>
            <w:tcW w:type="dxa" w:w="3855"/>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Replacing the twelve comped items with the commissioned shoot</w:t>
            </w:r>
          </w:p>
        </w:tc>
        <w:tc>
          <w:tcPr>
            <w:tcW w:type="dxa" w:w="964"/>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c>
          <w:tcPr>
            <w:tcW w:type="dxa" w:w="192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iCs/>
                <w:color w:val="6E6660"/>
                <w:sz w:val="20"/>
                <w:szCs w:val="20"/>
              </w:rPr>
              <w:t xml:space="preserve">Shoot, stylist, studio</w:t>
            </w:r>
          </w:p>
        </w:tc>
      </w:tr>
      <w:tr>
        <w:tc>
          <w:tcPr>
            <w:tcW w:type="dxa" w:w="289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Accessibility audit with a person</w:t>
            </w:r>
          </w:p>
        </w:tc>
        <w:tc>
          <w:tcPr>
            <w:tcW w:type="dxa" w:w="3855"/>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 screen-reader pass and Core Web Vitals against the deployed build. The contrast maths and the static scans are done, and neither replaces somebody using it</w:t>
            </w:r>
          </w:p>
        </w:tc>
        <w:tc>
          <w:tcPr>
            <w:tcW w:type="dxa" w:w="964"/>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3</w:t>
            </w:r>
          </w:p>
        </w:tc>
        <w:tc>
          <w:tcPr>
            <w:tcW w:type="dxa" w:w="192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w:t>
            </w:r>
          </w:p>
        </w:tc>
      </w:tr>
      <w:tr>
        <w:tc>
          <w:tcPr>
            <w:tcW w:type="dxa" w:w="2891"/>
            <w:tcBorders>
              <w:top w:val="single" w:color="D6CFC6" w:sz="4"/>
              <w:left w:val="single" w:color="D6CFC6" w:sz="4"/>
              <w:bottom w:val="single" w:color="D6CFC6" w:sz="4"/>
              <w:right w:val="single" w:color="D6CFC6" w:sz="4"/>
            </w:tcBorders>
            <w:shd w:fill="FCE8EB"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Total remaining</w:t>
            </w:r>
          </w:p>
        </w:tc>
        <w:tc>
          <w:tcPr>
            <w:tcW w:type="dxa" w:w="3855"/>
            <w:tcBorders>
              <w:top w:val="single" w:color="D6CFC6" w:sz="4"/>
              <w:left w:val="single" w:color="D6CFC6" w:sz="4"/>
              <w:bottom w:val="single" w:color="D6CFC6" w:sz="4"/>
              <w:right w:val="single" w:color="D6CFC6" w:sz="4"/>
            </w:tcBorders>
            <w:shd w:fill="FCE8EB"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200 hours of engineering</w:t>
            </w:r>
          </w:p>
        </w:tc>
        <w:tc>
          <w:tcPr>
            <w:tcW w:type="dxa" w:w="964"/>
            <w:tcBorders>
              <w:top w:val="single" w:color="D6CFC6" w:sz="4"/>
              <w:left w:val="single" w:color="D6CFC6" w:sz="4"/>
              <w:bottom w:val="single" w:color="D6CFC6" w:sz="4"/>
              <w:right w:val="single" w:color="D6CFC6" w:sz="4"/>
            </w:tcBorders>
            <w:shd w:fill="FCE8EB"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221E1F"/>
                <w:sz w:val="20"/>
                <w:szCs w:val="20"/>
              </w:rPr>
              <w:t xml:space="preserve">25</w:t>
            </w:r>
          </w:p>
        </w:tc>
        <w:tc>
          <w:tcPr>
            <w:tcW w:type="dxa" w:w="1928"/>
            <w:tcBorders>
              <w:top w:val="single" w:color="D6CFC6" w:sz="4"/>
              <w:left w:val="single" w:color="D6CFC6" w:sz="4"/>
              <w:bottom w:val="single" w:color="D6CFC6" w:sz="4"/>
              <w:right w:val="single" w:color="D6CFC6" w:sz="4"/>
            </w:tcBorders>
            <w:shd w:fill="FCE8EB"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Quotes required</w:t>
            </w:r>
          </w:p>
        </w:tc>
      </w:tr>
    </w:tbl>
    <w:p>
      <w:pPr>
        <w:spacing w:after="140" w:before="0" w:line="264"/>
      </w:pPr>
      <w:r>
        <w:rPr>
          <w:rFonts w:ascii="Calibri" w:cs="Calibri" w:eastAsia="Calibri" w:hAnsi="Calibri"/>
          <w:b w:val="false"/>
          <w:bCs w:val="false"/>
          <w:i w:val="false"/>
          <w:iCs w:val="false"/>
          <w:color w:val="221E1F"/>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446"/>
        <w:gridCol w:w="1687"/>
        <w:gridCol w:w="1687"/>
      </w:tblGrid>
      <w:tr>
        <w:trPr>
          <w:tblHeader/>
        </w:trPr>
        <w:tc>
          <w:tcPr>
            <w:tcW w:type="dxa" w:w="4819"/>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Position</w:t>
            </w:r>
          </w:p>
        </w:tc>
        <w:tc>
          <w:tcPr>
            <w:tcW w:type="dxa" w:w="1446"/>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FFFFFF"/>
                <w:sz w:val="19"/>
                <w:szCs w:val="19"/>
              </w:rPr>
              <w:t xml:space="preserve">Days</w:t>
            </w:r>
          </w:p>
        </w:tc>
        <w:tc>
          <w:tcPr>
            <w:tcW w:type="dxa" w:w="1687"/>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FFFFFF"/>
                <w:sz w:val="19"/>
                <w:szCs w:val="19"/>
              </w:rPr>
              <w:t xml:space="preserve">Hours</w:t>
            </w:r>
          </w:p>
        </w:tc>
        <w:tc>
          <w:tcPr>
            <w:tcW w:type="dxa" w:w="1687"/>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FFFFFF"/>
                <w:sz w:val="19"/>
                <w:szCs w:val="19"/>
              </w:rPr>
              <w:t xml:space="preserve">Cost at R 950/h (excl. VAT)</w:t>
            </w:r>
          </w:p>
        </w:tc>
      </w:tr>
      <w:tr>
        <w:tc>
          <w:tcPr>
            <w:tcW w:type="dxa" w:w="4819"/>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Delivered to date</w:t>
            </w:r>
          </w:p>
        </w:tc>
        <w:tc>
          <w:tcPr>
            <w:tcW w:type="dxa" w:w="1446"/>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228</w:t>
            </w:r>
          </w:p>
        </w:tc>
        <w:tc>
          <w:tcPr>
            <w:tcW w:type="dxa" w:w="168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1,824</w:t>
            </w:r>
          </w:p>
        </w:tc>
        <w:tc>
          <w:tcPr>
            <w:tcW w:type="dxa" w:w="1687"/>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1,732,800</w:t>
            </w:r>
          </w:p>
        </w:tc>
      </w:tr>
      <w:tr>
        <w:tc>
          <w:tcPr>
            <w:tcW w:type="dxa" w:w="4819"/>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Remaining engineering to go live</w:t>
            </w:r>
          </w:p>
        </w:tc>
        <w:tc>
          <w:tcPr>
            <w:tcW w:type="dxa" w:w="1446"/>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25</w:t>
            </w:r>
          </w:p>
        </w:tc>
        <w:tc>
          <w:tcPr>
            <w:tcW w:type="dxa" w:w="168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200</w:t>
            </w:r>
          </w:p>
        </w:tc>
        <w:tc>
          <w:tcPr>
            <w:tcW w:type="dxa" w:w="1687"/>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right"/>
            </w:pPr>
            <w:r>
              <w:rPr>
                <w:rFonts w:ascii="Calibri" w:cs="Calibri" w:eastAsia="Calibri" w:hAnsi="Calibri"/>
                <w:b w:val="false"/>
                <w:bCs w:val="false"/>
                <w:i w:val="false"/>
                <w:iCs w:val="false"/>
                <w:color w:val="221E1F"/>
                <w:sz w:val="20"/>
                <w:szCs w:val="20"/>
              </w:rPr>
              <w:t xml:space="preserve">R 190,000</w:t>
            </w:r>
          </w:p>
        </w:tc>
      </w:tr>
      <w:tr>
        <w:tc>
          <w:tcPr>
            <w:tcW w:type="dxa" w:w="4819"/>
            <w:tcBorders>
              <w:top w:val="single" w:color="D6CFC6" w:sz="4"/>
              <w:left w:val="single" w:color="D6CFC6" w:sz="4"/>
              <w:bottom w:val="single" w:color="D6CFC6" w:sz="4"/>
              <w:right w:val="single" w:color="D6CFC6" w:sz="4"/>
            </w:tcBorders>
            <w:shd w:fill="FCE8EB"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221E1F"/>
                <w:sz w:val="20"/>
                <w:szCs w:val="20"/>
              </w:rPr>
              <w:t xml:space="preserve">Total engineering, end to end</w:t>
            </w:r>
          </w:p>
        </w:tc>
        <w:tc>
          <w:tcPr>
            <w:tcW w:type="dxa" w:w="1446"/>
            <w:tcBorders>
              <w:top w:val="single" w:color="D6CFC6" w:sz="4"/>
              <w:left w:val="single" w:color="D6CFC6" w:sz="4"/>
              <w:bottom w:val="single" w:color="D6CFC6" w:sz="4"/>
              <w:right w:val="single" w:color="D6CFC6" w:sz="4"/>
            </w:tcBorders>
            <w:shd w:fill="FCE8EB"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221E1F"/>
                <w:sz w:val="20"/>
                <w:szCs w:val="20"/>
              </w:rPr>
              <w:t xml:space="preserve">253</w:t>
            </w:r>
          </w:p>
        </w:tc>
        <w:tc>
          <w:tcPr>
            <w:tcW w:type="dxa" w:w="1687"/>
            <w:tcBorders>
              <w:top w:val="single" w:color="D6CFC6" w:sz="4"/>
              <w:left w:val="single" w:color="D6CFC6" w:sz="4"/>
              <w:bottom w:val="single" w:color="D6CFC6" w:sz="4"/>
              <w:right w:val="single" w:color="D6CFC6" w:sz="4"/>
            </w:tcBorders>
            <w:shd w:fill="FCE8EB"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221E1F"/>
                <w:sz w:val="20"/>
                <w:szCs w:val="20"/>
              </w:rPr>
              <w:t xml:space="preserve">2,024</w:t>
            </w:r>
          </w:p>
        </w:tc>
        <w:tc>
          <w:tcPr>
            <w:tcW w:type="dxa" w:w="1687"/>
            <w:tcBorders>
              <w:top w:val="single" w:color="D6CFC6" w:sz="4"/>
              <w:left w:val="single" w:color="D6CFC6" w:sz="4"/>
              <w:bottom w:val="single" w:color="D6CFC6" w:sz="4"/>
              <w:right w:val="single" w:color="D6CFC6" w:sz="4"/>
            </w:tcBorders>
            <w:shd w:fill="FCE8EB" w:color="auto" w:val="clear"/>
            <w:tcMar>
              <w:top w:type="dxa" w:w="90"/>
              <w:left w:type="dxa" w:w="130"/>
              <w:bottom w:type="dxa" w:w="90"/>
              <w:right w:type="dxa" w:w="130"/>
            </w:tcMar>
            <w:vAlign w:val="center"/>
          </w:tcPr>
          <w:p>
            <w:pPr>
              <w:spacing w:after="0" w:line="240"/>
              <w:jc w:val="right"/>
            </w:pPr>
            <w:r>
              <w:rPr>
                <w:rFonts w:ascii="Calibri" w:cs="Calibri" w:eastAsia="Calibri" w:hAnsi="Calibri"/>
                <w:b/>
                <w:bCs/>
                <w:i w:val="false"/>
                <w:iCs w:val="false"/>
                <w:color w:val="221E1F"/>
                <w:sz w:val="20"/>
                <w:szCs w:val="20"/>
              </w:rPr>
              <w:t xml:space="preserve">R 1,922,800</w:t>
            </w:r>
          </w:p>
        </w:tc>
      </w:tr>
    </w:tbl>
    <w:p>
      <w:pPr>
        <w:spacing w:after="120" w:before="0" w:line="264"/>
      </w:pPr>
      <w:r>
        <w:rPr>
          <w:rFonts w:ascii="Calibri" w:cs="Calibri" w:eastAsia="Calibri" w:hAnsi="Calibri"/>
          <w:b w:val="false"/>
          <w:bCs w:val="false"/>
          <w:i w:val="false"/>
          <w:iCs w:val="false"/>
          <w:color w:val="221E1F"/>
          <w:sz w:val="20"/>
          <w:szCs w:val="20"/>
        </w:rPr>
        <w:t xml:space="preserve"/>
      </w:r>
    </w:p>
    <w:p>
      <w:pPr>
        <w:spacing w:after="120" w:before="0" w:line="264"/>
      </w:pPr>
      <w:r>
        <w:rPr>
          <w:rFonts w:ascii="Calibri" w:cs="Calibri" w:eastAsia="Calibri" w:hAnsi="Calibri"/>
          <w:b/>
          <w:bCs/>
          <w:i w:val="false"/>
          <w:iCs w:val="false"/>
          <w:color w:val="221E1F"/>
          <w:sz w:val="20"/>
          <w:szCs w:val="20"/>
        </w:rPr>
        <w:t xml:space="preserve">Roughly 90% of the engineering is done. </w:t>
      </w:r>
      <w:r>
        <w:rPr>
          <w:rFonts w:ascii="Calibri" w:cs="Calibri" w:eastAsia="Calibri" w:hAnsi="Calibri"/>
          <w:b w:val="false"/>
          <w:bCs w:val="false"/>
          <w:i w:val="false"/>
          <w:iCs w:val="false"/>
          <w:color w:val="221E1F"/>
          <w:sz w:val="20"/>
          <w:szCs w:val="20"/>
        </w:rPr>
        <w:t xml:space="preserve">What is left is weighted toward vendor onboarding rather than construction, so its calendar time depends on how quickly accounts, credentials and contracts arrive rather than on how fast anyone writes code. The engineering estimates fell when the seams went in: a payment integration is four days against a tested interface where it was eight against nothing.</w:t>
      </w:r>
    </w:p>
    <w:p>
      <w:pPr>
        <w:pStyle w:val="Heading2"/>
        <w:spacing w:after="120" w:before="280"/>
      </w:pPr>
      <w:r>
        <w:rPr>
          <w:rFonts w:ascii="Calibri" w:cs="Calibri" w:eastAsia="Calibri" w:hAnsi="Calibri"/>
          <w:b/>
          <w:bCs/>
          <w:color w:val="221E1F"/>
          <w:sz w:val="24"/>
          <w:szCs w:val="24"/>
        </w:rPr>
        <w:t xml:space="preserve">6.1 Costs that are not ours to estimate</w:t>
      </w:r>
    </w:p>
    <w:p>
      <w:pPr>
        <w:spacing w:after="120" w:before="0" w:line="264"/>
      </w:pPr>
      <w:r>
        <w:rPr>
          <w:rFonts w:ascii="Calibri" w:cs="Calibri" w:eastAsia="Calibri" w:hAnsi="Calibri"/>
          <w:b w:val="false"/>
          <w:bCs w:val="false"/>
          <w:i w:val="false"/>
          <w:iCs w:val="false"/>
          <w:color w:val="221E1F"/>
          <w:sz w:val="20"/>
          <w:szCs w:val="20"/>
        </w:rPr>
        <w:t xml:space="preserve">Each of these needs a written quote before it goes into a client-facing number. Their shape is described so nothing is forgotten, not so it can be guessed.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Item</w:t>
            </w:r>
          </w:p>
        </w:tc>
        <w:tc>
          <w:tcPr>
            <w:tcW w:type="dxa" w:w="6265"/>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How it is normally priced</w:t>
            </w:r>
          </w:p>
        </w:tc>
      </w:tr>
      <w:tr>
        <w:tc>
          <w:tcPr>
            <w:tcW w:type="dxa" w:w="3373"/>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Payment gateway</w:t>
            </w:r>
          </w:p>
        </w:tc>
        <w:tc>
          <w:tcPr>
            <w:tcW w:type="dxa" w:w="6265"/>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 percentage of transaction value plus a per-transaction fee, negotiated on volume. Set-up and monthly service charges vary by provider.</w:t>
            </w:r>
          </w:p>
        </w:tc>
      </w:tr>
      <w:tr>
        <w:tc>
          <w:tcPr>
            <w:tcW w:type="dxa" w:w="3373"/>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POS / order management</w:t>
            </w:r>
          </w:p>
        </w:tc>
        <w:tc>
          <w:tcPr>
            <w:tcW w:type="dxa" w:w="6265"/>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Per-store licence or integration fee, set by the POS vendor and usually tied to the existing store contract.</w:t>
            </w:r>
          </w:p>
        </w:tc>
      </w:tr>
      <w:tr>
        <w:tc>
          <w:tcPr>
            <w:tcW w:type="dxa" w:w="3373"/>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Delivery provider</w:t>
            </w:r>
          </w:p>
        </w:tc>
        <w:tc>
          <w:tcPr>
            <w:tcW w:type="dxa" w:w="6265"/>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Commission per delivered order, plus onboarding. Terms differ by provider and by suburb coverage.</w:t>
            </w:r>
          </w:p>
        </w:tc>
      </w:tr>
      <w:tr>
        <w:tc>
          <w:tcPr>
            <w:tcW w:type="dxa" w:w="3373"/>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Hosting and database</w:t>
            </w:r>
          </w:p>
        </w:tc>
        <w:tc>
          <w:tcPr>
            <w:tcW w:type="dxa" w:w="6265"/>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Monthly, scaling with traffic and database size. Depends on whether a managed platform or a self-managed server is chosen.</w:t>
            </w:r>
          </w:p>
        </w:tc>
      </w:tr>
      <w:tr>
        <w:tc>
          <w:tcPr>
            <w:tcW w:type="dxa" w:w="3373"/>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Domain and certificates</w:t>
            </w:r>
          </w:p>
        </w:tc>
        <w:tc>
          <w:tcPr>
            <w:tcW w:type="dxa" w:w="6265"/>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Annual, small, but must be registered to bb.q Chicken and not to the agency.</w:t>
            </w:r>
          </w:p>
        </w:tc>
      </w:tr>
      <w:tr>
        <w:tc>
          <w:tcPr>
            <w:tcW w:type="dxa" w:w="3373"/>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Messaging</w:t>
            </w:r>
          </w:p>
        </w:tc>
        <w:tc>
          <w:tcPr>
            <w:tcW w:type="dxa" w:w="6265"/>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Per email and per SMS. SMS to South African networks is materially more expensive than email and should be used sparingly.</w:t>
            </w:r>
          </w:p>
        </w:tc>
      </w:tr>
      <w:tr>
        <w:tc>
          <w:tcPr>
            <w:tcW w:type="dxa" w:w="3373"/>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Monitoring</w:t>
            </w:r>
          </w:p>
        </w:tc>
        <w:tc>
          <w:tcPr>
            <w:tcW w:type="dxa" w:w="6265"/>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Monthly subscription, tiered on event volume.</w:t>
            </w:r>
          </w:p>
        </w:tc>
      </w:tr>
      <w:tr>
        <w:tc>
          <w:tcPr>
            <w:tcW w:type="dxa" w:w="3373"/>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Food photography</w:t>
            </w:r>
          </w:p>
        </w:tc>
        <w:tc>
          <w:tcPr>
            <w:tcW w:type="dxa" w:w="6265"/>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 shoot day with a food stylist and studio. At least twelve items currently need one; costing the full 28 for consistency is worth pricing as an alternative.</w:t>
            </w:r>
          </w:p>
        </w:tc>
      </w:tr>
      <w:tr>
        <w:tc>
          <w:tcPr>
            <w:tcW w:type="dxa" w:w="3373"/>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Legal and POPIA review</w:t>
            </w:r>
          </w:p>
        </w:tc>
        <w:tc>
          <w:tcPr>
            <w:tcW w:type="dxa" w:w="6265"/>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Fixed fee or hourly, by an attorney. Not optional for a site taking customer data and payment.</w:t>
            </w:r>
          </w:p>
        </w:tc>
      </w:tr>
    </w:tbl>
    <w:p>
      <w:r>
        <w:br w:type="page"/>
      </w:r>
    </w:p>
    <w:p>
      <w:pPr>
        <w:pStyle w:val="Heading1"/>
        <w:spacing w:after="180" w:before="360"/>
      </w:pPr>
      <w:r>
        <w:rPr>
          <w:rFonts w:ascii="Calibri" w:cs="Calibri" w:eastAsia="Calibri" w:hAnsi="Calibri"/>
          <w:b/>
          <w:bCs/>
          <w:color w:val="E31937"/>
          <w:sz w:val="30"/>
          <w:szCs w:val="30"/>
        </w:rPr>
        <w:t xml:space="preserve">7. Assumptions, and what this document is not</w:t>
      </w:r>
    </w:p>
    <w:p>
      <w:pPr>
        <w:pStyle w:val="Heading2"/>
        <w:spacing w:after="120" w:before="280"/>
      </w:pPr>
      <w:r>
        <w:rPr>
          <w:rFonts w:ascii="Calibri" w:cs="Calibri" w:eastAsia="Calibri" w:hAnsi="Calibri"/>
          <w:b/>
          <w:bCs/>
          <w:color w:val="221E1F"/>
          <w:sz w:val="24"/>
          <w:szCs w:val="24"/>
        </w:rPr>
        <w:t xml:space="preserve">7.1 Assumptions</w:t>
      </w:r>
    </w:p>
    <w:p>
      <w:pPr>
        <w:pStyle w:val="ListParagraph"/>
        <w:numPr>
          <w:ilvl w:val="0"/>
          <w:numId w:val="2"/>
        </w:numPr>
        <w:spacing w:after="80" w:line="264"/>
      </w:pPr>
      <w:r>
        <w:rPr>
          <w:rFonts w:ascii="Calibri" w:cs="Calibri" w:eastAsia="Calibri" w:hAnsi="Calibri"/>
          <w:b w:val="false"/>
          <w:bCs w:val="false"/>
          <w:i w:val="false"/>
          <w:iCs w:val="false"/>
          <w:color w:val="221E1F"/>
          <w:sz w:val="20"/>
          <w:szCs w:val="20"/>
        </w:rPr>
        <w:t xml:space="preserve">One experienced full-stack developer, at eight hours to the day, working without interruption.</w:t>
      </w:r>
    </w:p>
    <w:p>
      <w:pPr>
        <w:pStyle w:val="ListParagraph"/>
        <w:numPr>
          <w:ilvl w:val="0"/>
          <w:numId w:val="2"/>
        </w:numPr>
        <w:spacing w:after="80" w:line="264"/>
      </w:pPr>
      <w:r>
        <w:rPr>
          <w:rFonts w:ascii="Calibri" w:cs="Calibri" w:eastAsia="Calibri" w:hAnsi="Calibri"/>
          <w:b w:val="false"/>
          <w:bCs w:val="false"/>
          <w:i w:val="false"/>
          <w:iCs w:val="false"/>
          <w:color w:val="221E1F"/>
          <w:sz w:val="20"/>
          <w:szCs w:val="20"/>
        </w:rPr>
        <w:t xml:space="preserve">Effort includes design, implementation, tests, review and documentation for each workstream. It is not coding time in isolation.</w:t>
      </w:r>
    </w:p>
    <w:p>
      <w:pPr>
        <w:pStyle w:val="ListParagraph"/>
        <w:numPr>
          <w:ilvl w:val="0"/>
          <w:numId w:val="2"/>
        </w:numPr>
        <w:spacing w:after="80" w:line="264"/>
      </w:pPr>
      <w:r>
        <w:rPr>
          <w:rFonts w:ascii="Calibri" w:cs="Calibri" w:eastAsia="Calibri" w:hAnsi="Calibri"/>
          <w:b w:val="false"/>
          <w:bCs w:val="false"/>
          <w:i w:val="false"/>
          <w:iCs w:val="false"/>
          <w:color w:val="221E1F"/>
          <w:sz w:val="20"/>
          <w:szCs w:val="20"/>
        </w:rPr>
        <w:t xml:space="preserve">The remaining estimates assume the third parties respond within normal commercial timescales and that their documentation is accurate. Integration work is the least predictable kind, and a 20–30% contingency on section 6 is prudent.</w:t>
      </w:r>
    </w:p>
    <w:p>
      <w:pPr>
        <w:pStyle w:val="ListParagraph"/>
        <w:numPr>
          <w:ilvl w:val="0"/>
          <w:numId w:val="2"/>
        </w:numPr>
        <w:spacing w:after="80" w:line="264"/>
      </w:pPr>
      <w:r>
        <w:rPr>
          <w:rFonts w:ascii="Calibri" w:cs="Calibri" w:eastAsia="Calibri" w:hAnsi="Calibri"/>
          <w:b w:val="false"/>
          <w:bCs w:val="false"/>
          <w:i w:val="false"/>
          <w:iCs w:val="false"/>
          <w:color w:val="221E1F"/>
          <w:sz w:val="20"/>
          <w:szCs w:val="20"/>
        </w:rPr>
        <w:t xml:space="preserve">VAT is shown at 15%. Confirm the current rate before issuing anything.</w:t>
      </w:r>
    </w:p>
    <w:p>
      <w:pPr>
        <w:pStyle w:val="ListParagraph"/>
        <w:numPr>
          <w:ilvl w:val="0"/>
          <w:numId w:val="2"/>
        </w:numPr>
        <w:spacing w:after="80" w:line="264"/>
      </w:pPr>
      <w:r>
        <w:rPr>
          <w:rFonts w:ascii="Calibri" w:cs="Calibri" w:eastAsia="Calibri" w:hAnsi="Calibri"/>
          <w:b w:val="false"/>
          <w:bCs w:val="false"/>
          <w:i w:val="false"/>
          <w:iCs w:val="false"/>
          <w:color w:val="221E1F"/>
          <w:sz w:val="20"/>
          <w:szCs w:val="20"/>
        </w:rPr>
        <w:t xml:space="preserve">No project management, account management, agency overhead or margin is included. Those are commercial layers that sit on top of these numbers.</w:t>
      </w:r>
    </w:p>
    <w:p>
      <w:pPr>
        <w:pStyle w:val="Heading2"/>
        <w:spacing w:after="120" w:before="280"/>
      </w:pPr>
      <w:r>
        <w:rPr>
          <w:rFonts w:ascii="Calibri" w:cs="Calibri" w:eastAsia="Calibri" w:hAnsi="Calibri"/>
          <w:b/>
          <w:bCs/>
          <w:color w:val="221E1F"/>
          <w:sz w:val="24"/>
          <w:szCs w:val="24"/>
        </w:rPr>
        <w:t xml:space="preserve">7.2 What this document is not</w:t>
      </w:r>
    </w:p>
    <w:p>
      <w:pPr>
        <w:pStyle w:val="ListParagraph"/>
        <w:numPr>
          <w:ilvl w:val="0"/>
          <w:numId w:val="2"/>
        </w:numPr>
        <w:spacing w:after="80" w:line="264"/>
      </w:pPr>
      <w:r>
        <w:rPr>
          <w:rFonts w:ascii="Calibri" w:cs="Calibri" w:eastAsia="Calibri" w:hAnsi="Calibri"/>
          <w:b/>
          <w:bCs/>
          <w:i w:val="false"/>
          <w:iCs w:val="false"/>
          <w:color w:val="221E1F"/>
          <w:sz w:val="20"/>
          <w:szCs w:val="20"/>
        </w:rPr>
        <w:t xml:space="preserve">It is not a quote. </w:t>
      </w:r>
      <w:r>
        <w:rPr>
          <w:rFonts w:ascii="Calibri" w:cs="Calibri" w:eastAsia="Calibri" w:hAnsi="Calibri"/>
          <w:b w:val="false"/>
          <w:bCs w:val="false"/>
          <w:i w:val="false"/>
          <w:iCs w:val="false"/>
          <w:color w:val="221E1F"/>
          <w:sz w:val="20"/>
          <w:szCs w:val="20"/>
        </w:rPr>
        <w:t xml:space="preserve">No rate here has been approved by Magugu Nzimande, and the worked example uses an illustrative figure only.</w:t>
      </w:r>
    </w:p>
    <w:p>
      <w:pPr>
        <w:pStyle w:val="ListParagraph"/>
        <w:numPr>
          <w:ilvl w:val="0"/>
          <w:numId w:val="2"/>
        </w:numPr>
        <w:spacing w:after="80" w:line="264"/>
      </w:pPr>
      <w:r>
        <w:rPr>
          <w:rFonts w:ascii="Calibri" w:cs="Calibri" w:eastAsia="Calibri" w:hAnsi="Calibri"/>
          <w:b/>
          <w:bCs/>
          <w:i w:val="false"/>
          <w:iCs w:val="false"/>
          <w:color w:val="221E1F"/>
          <w:sz w:val="20"/>
          <w:szCs w:val="20"/>
        </w:rPr>
        <w:t xml:space="preserve">It is not a valuation. </w:t>
      </w:r>
      <w:r>
        <w:rPr>
          <w:rFonts w:ascii="Calibri" w:cs="Calibri" w:eastAsia="Calibri" w:hAnsi="Calibri"/>
          <w:b w:val="false"/>
          <w:bCs w:val="false"/>
          <w:i w:val="false"/>
          <w:iCs w:val="false"/>
          <w:color w:val="221E1F"/>
          <w:sz w:val="20"/>
          <w:szCs w:val="20"/>
        </w:rPr>
        <w:t xml:space="preserve">What the work cost to produce and what it is worth to a client are different questions, and the second one is commercial.</w:t>
      </w:r>
    </w:p>
    <w:p>
      <w:pPr>
        <w:pStyle w:val="ListParagraph"/>
        <w:numPr>
          <w:ilvl w:val="0"/>
          <w:numId w:val="2"/>
        </w:numPr>
        <w:spacing w:after="80" w:line="264"/>
      </w:pPr>
      <w:r>
        <w:rPr>
          <w:rFonts w:ascii="Calibri" w:cs="Calibri" w:eastAsia="Calibri" w:hAnsi="Calibri"/>
          <w:b/>
          <w:bCs/>
          <w:i w:val="false"/>
          <w:iCs w:val="false"/>
          <w:color w:val="221E1F"/>
          <w:sz w:val="20"/>
          <w:szCs w:val="20"/>
        </w:rPr>
        <w:t xml:space="preserve">It does not price the mobile app. </w:t>
      </w:r>
      <w:r>
        <w:rPr>
          <w:rFonts w:ascii="Calibri" w:cs="Calibri" w:eastAsia="Calibri" w:hAnsi="Calibri"/>
          <w:b w:val="false"/>
          <w:bCs w:val="false"/>
          <w:i w:val="false"/>
          <w:iCs w:val="false"/>
          <w:color w:val="221E1F"/>
          <w:sz w:val="20"/>
          <w:szCs w:val="20"/>
        </w:rPr>
        <w:t xml:space="preserve">The Expo application in the same repository is a separate deliverable of comparable size — 34 routes and roughly 23,000 lines — and needs its own costing.</w:t>
      </w:r>
    </w:p>
    <w:p>
      <w:pPr>
        <w:pStyle w:val="ListParagraph"/>
        <w:numPr>
          <w:ilvl w:val="0"/>
          <w:numId w:val="2"/>
        </w:numPr>
        <w:spacing w:after="80" w:line="264"/>
      </w:pPr>
      <w:r>
        <w:rPr>
          <w:rFonts w:ascii="Calibri" w:cs="Calibri" w:eastAsia="Calibri" w:hAnsi="Calibri"/>
          <w:b/>
          <w:bCs/>
          <w:i w:val="false"/>
          <w:iCs w:val="false"/>
          <w:color w:val="221E1F"/>
          <w:sz w:val="20"/>
          <w:szCs w:val="20"/>
        </w:rPr>
        <w:t xml:space="preserve">It does not commit to a timeline. </w:t>
      </w:r>
      <w:r>
        <w:rPr>
          <w:rFonts w:ascii="Calibri" w:cs="Calibri" w:eastAsia="Calibri" w:hAnsi="Calibri"/>
          <w:b w:val="false"/>
          <w:bCs w:val="false"/>
          <w:i w:val="false"/>
          <w:iCs w:val="false"/>
          <w:color w:val="221E1F"/>
          <w:sz w:val="20"/>
          <w:szCs w:val="20"/>
        </w:rPr>
        <w:t xml:space="preserve">Days are effort, not calendar. Section 6 in particular is gated on other people.</w:t>
      </w:r>
    </w:p>
    <w:p>
      <w:pPr>
        <w:pStyle w:val="Heading1"/>
        <w:spacing w:after="180" w:before="360"/>
      </w:pPr>
      <w:r>
        <w:rPr>
          <w:rFonts w:ascii="Calibri" w:cs="Calibri" w:eastAsia="Calibri" w:hAnsi="Calibri"/>
          <w:b/>
          <w:bCs/>
          <w:color w:val="E31937"/>
          <w:sz w:val="30"/>
          <w:szCs w:val="30"/>
        </w:rPr>
        <w:t xml:space="preserve">8. What is needed from bb.q Chicken</w:t>
      </w:r>
    </w:p>
    <w:p>
      <w:pPr>
        <w:spacing w:after="120" w:before="0" w:line="264"/>
      </w:pPr>
      <w:r>
        <w:rPr>
          <w:rFonts w:ascii="Calibri" w:cs="Calibri" w:eastAsia="Calibri" w:hAnsi="Calibri"/>
          <w:b w:val="false"/>
          <w:bCs w:val="false"/>
          <w:i w:val="false"/>
          <w:iCs w:val="false"/>
          <w:color w:val="221E1F"/>
          <w:sz w:val="20"/>
          <w:szCs w:val="20"/>
        </w:rPr>
        <w:t xml:space="preserve">Five things, none of which are engineering, and three of which block a launch outright.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4241"/>
        <w:gridCol w:w="2410"/>
        <w:gridCol w:w="2410"/>
      </w:tblGrid>
      <w:tr>
        <w:trPr>
          <w:tblHeader/>
        </w:trPr>
        <w:tc>
          <w:tcPr>
            <w:tcW w:type="dxa" w:w="578"/>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jc w:val="center"/>
            </w:pPr>
            <w:r>
              <w:rPr>
                <w:rFonts w:ascii="Calibri" w:cs="Calibri" w:eastAsia="Calibri" w:hAnsi="Calibri"/>
                <w:b/>
                <w:bCs/>
                <w:i w:val="false"/>
                <w:iCs w:val="false"/>
                <w:color w:val="FFFFFF"/>
                <w:sz w:val="19"/>
                <w:szCs w:val="19"/>
              </w:rPr>
              <w:t xml:space="preserve">#</w:t>
            </w:r>
          </w:p>
        </w:tc>
        <w:tc>
          <w:tcPr>
            <w:tcW w:type="dxa" w:w="4241"/>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Item</w:t>
            </w:r>
          </w:p>
        </w:tc>
        <w:tc>
          <w:tcPr>
            <w:tcW w:type="dxa" w:w="2410"/>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Who</w:t>
            </w:r>
          </w:p>
        </w:tc>
        <w:tc>
          <w:tcPr>
            <w:tcW w:type="dxa" w:w="2410"/>
            <w:tcBorders>
              <w:top w:val="single" w:color="D6CFC6" w:sz="4"/>
              <w:left w:val="single" w:color="D6CFC6" w:sz="4"/>
              <w:bottom w:val="single" w:color="D6CFC6" w:sz="4"/>
              <w:right w:val="single" w:color="D6CFC6" w:sz="4"/>
            </w:tcBorders>
            <w:shd w:fill="E31937" w:color="auto" w:val="clear"/>
            <w:tcMar>
              <w:top w:type="dxa" w:w="90"/>
              <w:left w:type="dxa" w:w="130"/>
              <w:bottom w:type="dxa" w:w="90"/>
              <w:right w:type="dxa" w:w="130"/>
            </w:tcMar>
            <w:vAlign w:val="center"/>
          </w:tcPr>
          <w:p>
            <w:pPr>
              <w:spacing w:after="0" w:line="240"/>
            </w:pPr>
            <w:r>
              <w:rPr>
                <w:rFonts w:ascii="Calibri" w:cs="Calibri" w:eastAsia="Calibri" w:hAnsi="Calibri"/>
                <w:b/>
                <w:bCs/>
                <w:i w:val="false"/>
                <w:iCs w:val="false"/>
                <w:color w:val="FFFFFF"/>
                <w:sz w:val="19"/>
                <w:szCs w:val="19"/>
              </w:rPr>
              <w:t xml:space="preserve">Blocks</w:t>
            </w:r>
          </w:p>
        </w:tc>
      </w:tr>
      <w:tr>
        <w:tc>
          <w:tcPr>
            <w:tcW w:type="dxa" w:w="57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1</w:t>
            </w:r>
          </w:p>
        </w:tc>
        <w:tc>
          <w:tcPr>
            <w:tcW w:type="dxa" w:w="424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Approved retail prices for all 28 products</w:t>
            </w:r>
          </w:p>
        </w:tc>
        <w:tc>
          <w:tcPr>
            <w:tcW w:type="dxa" w:w="2410"/>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bb.q Chicken commercial</w:t>
            </w:r>
          </w:p>
        </w:tc>
        <w:tc>
          <w:tcPr>
            <w:tcW w:type="dxa" w:w="2410"/>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Any customer-facing use</w:t>
            </w:r>
          </w:p>
        </w:tc>
      </w:tr>
      <w:tr>
        <w:tc>
          <w:tcPr>
            <w:tcW w:type="dxa" w:w="57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2</w:t>
            </w:r>
          </w:p>
        </w:tc>
        <w:tc>
          <w:tcPr>
            <w:tcW w:type="dxa" w:w="424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Payment provider selection and merchant credentials</w:t>
            </w:r>
          </w:p>
        </w:tc>
        <w:tc>
          <w:tcPr>
            <w:tcW w:type="dxa" w:w="2410"/>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bb.q Chicken merchant</w:t>
            </w:r>
          </w:p>
        </w:tc>
        <w:tc>
          <w:tcPr>
            <w:tcW w:type="dxa" w:w="2410"/>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Taking payment</w:t>
            </w:r>
          </w:p>
        </w:tc>
      </w:tr>
      <w:tr>
        <w:tc>
          <w:tcPr>
            <w:tcW w:type="dxa" w:w="57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3</w:t>
            </w:r>
          </w:p>
        </w:tc>
        <w:tc>
          <w:tcPr>
            <w:tcW w:type="dxa" w:w="424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POS access and integration terms</w:t>
            </w:r>
          </w:p>
        </w:tc>
        <w:tc>
          <w:tcPr>
            <w:tcW w:type="dxa" w:w="2410"/>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Store systems owner</w:t>
            </w:r>
          </w:p>
        </w:tc>
        <w:tc>
          <w:tcPr>
            <w:tcW w:type="dxa" w:w="2410"/>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Orders reaching a kitchen</w:t>
            </w:r>
          </w:p>
        </w:tc>
      </w:tr>
      <w:tr>
        <w:tc>
          <w:tcPr>
            <w:tcW w:type="dxa" w:w="578"/>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4</w:t>
            </w:r>
          </w:p>
        </w:tc>
        <w:tc>
          <w:tcPr>
            <w:tcW w:type="dxa" w:w="4241"/>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Delivery provider onboarding</w:t>
            </w:r>
          </w:p>
        </w:tc>
        <w:tc>
          <w:tcPr>
            <w:tcW w:type="dxa" w:w="2410"/>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bb.q Chicken ↔ provider</w:t>
            </w:r>
          </w:p>
        </w:tc>
        <w:tc>
          <w:tcPr>
            <w:tcW w:type="dxa" w:w="2410"/>
            <w:tcBorders>
              <w:top w:val="single" w:color="D6CFC6" w:sz="4"/>
              <w:left w:val="single" w:color="D6CFC6" w:sz="4"/>
              <w:bottom w:val="single" w:color="D6CFC6" w:sz="4"/>
              <w:right w:val="single" w:color="D6CFC6" w:sz="4"/>
            </w:tcBorders>
            <w:shd w:fill="F7F5F2" w:color="auto" w:val="clear"/>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Delivery orders</w:t>
            </w:r>
          </w:p>
        </w:tc>
      </w:tr>
      <w:tr>
        <w:tc>
          <w:tcPr>
            <w:tcW w:type="dxa" w:w="578"/>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jc w:val="center"/>
            </w:pPr>
            <w:r>
              <w:rPr>
                <w:rFonts w:ascii="Calibri" w:cs="Calibri" w:eastAsia="Calibri" w:hAnsi="Calibri"/>
                <w:b w:val="false"/>
                <w:bCs w:val="false"/>
                <w:i w:val="false"/>
                <w:iCs w:val="false"/>
                <w:color w:val="221E1F"/>
                <w:sz w:val="20"/>
                <w:szCs w:val="20"/>
              </w:rPr>
              <w:t xml:space="preserve">5</w:t>
            </w:r>
          </w:p>
        </w:tc>
        <w:tc>
          <w:tcPr>
            <w:tcW w:type="dxa" w:w="4241"/>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Brand approval of the interface, and the licensed logo lock-up checked against what is in the build</w:t>
            </w:r>
          </w:p>
        </w:tc>
        <w:tc>
          <w:tcPr>
            <w:tcW w:type="dxa" w:w="2410"/>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Brand owner</w:t>
            </w:r>
          </w:p>
        </w:tc>
        <w:tc>
          <w:tcPr>
            <w:tcW w:type="dxa" w:w="2410"/>
            <w:tcBorders>
              <w:top w:val="single" w:color="D6CFC6" w:sz="4"/>
              <w:left w:val="single" w:color="D6CFC6" w:sz="4"/>
              <w:bottom w:val="single" w:color="D6CFC6" w:sz="4"/>
              <w:right w:val="single" w:color="D6CFC6" w:sz="4"/>
            </w:tcBorders>
            <w:tcMar>
              <w:top w:type="dxa" w:w="90"/>
              <w:left w:type="dxa" w:w="130"/>
              <w:bottom w:type="dxa" w:w="90"/>
              <w:right w:type="dxa" w:w="130"/>
            </w:tcMar>
            <w:vAlign w:val="center"/>
          </w:tcPr>
          <w:p>
            <w:pPr>
              <w:spacing w:after="0" w:line="240"/>
            </w:pPr>
            <w:r>
              <w:rPr>
                <w:rFonts w:ascii="Calibri" w:cs="Calibri" w:eastAsia="Calibri" w:hAnsi="Calibri"/>
                <w:b w:val="false"/>
                <w:bCs w:val="false"/>
                <w:i w:val="false"/>
                <w:iCs w:val="false"/>
                <w:color w:val="221E1F"/>
                <w:sz w:val="20"/>
                <w:szCs w:val="20"/>
              </w:rPr>
              <w:t xml:space="preserve">Sign-off, not launch</w:t>
            </w:r>
          </w:p>
        </w:tc>
      </w:tr>
    </w:tbl>
    <w:p>
      <w:pPr>
        <w:pBdr>
          <w:bottom w:val="single" w:color="D6CFC6" w:sz="6"/>
        </w:pBdr>
        <w:spacing w:after="180" w:before="60"/>
      </w:pPr>
      <w:r>
        <w:rPr>
          <w:rFonts w:ascii="Calibri" w:cs="Calibri" w:eastAsia="Calibri" w:hAnsi="Calibri"/>
          <w:b w:val="false"/>
          <w:bCs w:val="false"/>
          <w:i w:val="false"/>
          <w:iCs w:val="false"/>
          <w:color w:val="221E1F"/>
          <w:sz w:val="20"/>
          <w:szCs w:val="20"/>
        </w:rPr>
        <w:t xml:space="preserve"/>
      </w:r>
    </w:p>
    <w:p>
      <w:pPr>
        <w:spacing w:after="120" w:before="0" w:line="264"/>
      </w:pPr>
      <w:r>
        <w:rPr>
          <w:rFonts w:ascii="Calibri" w:cs="Calibri" w:eastAsia="Calibri" w:hAnsi="Calibri"/>
          <w:b w:val="false"/>
          <w:bCs w:val="false"/>
          <w:i/>
          <w:iCs/>
          <w:color w:val="6E6660"/>
          <w:sz w:val="18"/>
          <w:szCs w:val="18"/>
        </w:rPr>
        <w:t xml:space="preserve">Prepared from the repository at commit f3350d1 on branch claude/bbq-chicken-website-4qzv8i. Every count in section 2 is reproducible from the working tree; every rand figure is arithmetic on a rate that has yet to be set.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E666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CFC6" w:sz="6"/>
      </w:pBdr>
      <w:spacing w:after="60"/>
      <w:jc w:val="right"/>
    </w:pPr>
    <w:r>
      <w:rPr>
        <w:rFonts w:ascii="Calibri" w:cs="Calibri" w:eastAsia="Calibri" w:hAnsi="Calibri"/>
        <w:b w:val="false"/>
        <w:bCs w:val="false"/>
        <w:i w:val="false"/>
        <w:iCs w:val="false"/>
        <w:color w:val="6E6660"/>
        <w:sz w:val="16"/>
        <w:szCs w:val="16"/>
      </w:rPr>
      <w:t xml:space="preserve">bb.q Chicken South Africa · Ordering website · Build audit and costings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bb.q Chicken South Africa — Ordering Website: Build Audit and Costings</dc:title>
  <dc:creator>Magugu Nzimande</dc:creator>
  <dc:description>Measured scope of the delivered ordering website, with an effort reconstruction and a rate-based costing.</dc:description>
  <cp:lastModifiedBy>Un-named</cp:lastModifiedBy>
  <cp:revision>1</cp:revision>
  <dcterms:created xsi:type="dcterms:W3CDTF">2026-09-13T19:08:44.941Z</dcterms:created>
  <dcterms:modified xsi:type="dcterms:W3CDTF">2026-09-13T19:08:44.942Z</dcterms:modified>
</cp:coreProperties>
</file>

<file path=docProps/custom.xml><?xml version="1.0" encoding="utf-8"?>
<Properties xmlns="http://schemas.openxmlformats.org/officeDocument/2006/custom-properties" xmlns:vt="http://schemas.openxmlformats.org/officeDocument/2006/docPropsVTypes"/>
</file>