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12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fe5a143</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985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49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35,550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13,968 · tests 14,892 · review build 2,785 · data, schema and tooling 2,972 · shared packages 933</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985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49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985 tests now in 49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49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a refusal says, and to whom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other round asked whether the application does the right thing; this one asked what it says when it has decided not to — because a refusal is the one string in the system written under pressure, by whoever was closest to the failure, and sent straight to a stranger’s screen with nobody reviewing it. Three findings, all the same mistake. The delivery quote — the first refusal most customers meet, since it decides whether they can have it delivered at all — answered “Invalid quote request” and attached the validator’s own issue objects under a key no client has ever read, while the rule they had actually broken carried the sentence “Enter your suburb” and nobody ever saw it. Registering on a build with no session secret answered correctly and then named the environment variable that was missing and how long it has to be, to any anonymous caller: nobody who can act on that is reading an HTTP response, and the health endpoint one rung away has the rule written above it — whether each thing is present, and not one word more. And the order journey put the message off any Error on screen, which is every failure there is: a fetch that cannot leave the machine throws “Failed to fetch”, a response that does not match its schema throws a JSON dump of issue objects, and both were rendered into the payment panel under a heading about somebody’s dinner, while checkout and the account screens next door had narrowed to this application’s own error type all along. Each fix is small and each is now a rule rather than a patch: no route ships the validator’s notes, no response body names an environment variable, no screen reads a message off a bare Error — checked across every route and every component, over source with its comments stripped, because two suites have already been caught writing a rule that fails on the paragraph explaining it. Includes the flake that surfaced while running the gate: the lock suite’s control races four real processes without the lock and asserts they lose an increment, which is what makes the locked test above it mean anything — but on a loaded machine the four spawns can stagger far enough to serialise, and a perfect count came back on a change that touched nothing in that file, turning the whole verification gate red. It now races several times and fails only if not one race loses anything, which is what the claim always meant and is the difference between a claim and a coin toss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223</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35,550 hand-written lines over 223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223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223 days × 8 hours = 1784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1784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713,600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820,640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1,159,600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1,333,540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1,516,400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1,743,860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1,694,800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1,949,020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2,051,600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2,359,340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2,586,800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2,974,820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1,694,800 excluding VAT, or R 1,949,020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a refusal says, and to whom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223</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1,784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1,694,800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223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223</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1,784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1,694,800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1,984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1,884,800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2026-09-12T17:16:36.677Z</dcterms:created>
  <dcterms:modified xsi:type="dcterms:W3CDTF">2026-09-12T17:16:36.677Z</dcterms:modified>
</cp:coreProperties>
</file>

<file path=docProps/custom.xml><?xml version="1.0" encoding="utf-8"?>
<Properties xmlns="http://schemas.openxmlformats.org/officeDocument/2006/custom-properties" xmlns:vt="http://schemas.openxmlformats.org/officeDocument/2006/docPropsVTypes"/>
</file>