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12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d50eb10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985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49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35,550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13,968 · tests 14,892 · review build 2,785 · data, schema and tooling 2,972 · shared packages 933</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985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49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985 tests now in 49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49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a refusal says, and to whom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other round asked whether the application does the right thing; this one asked what it says when it has decided not to — because a refusal is the one string in the system written under pressure, by whoever was closest to the failure, and sent straight to a stranger’s screen with nobody reviewing it. Three findings, all the same mistake. The delivery quote — the first refusal most customers meet, since it decides whether they can have it delivered at all — answered “Invalid quote request” and attached the validator’s own issue objects under a key no client has ever read, while the rule they had actually broken carried the sentence “Enter your suburb” and nobody ever saw it. Registering on a build with no session secret answered correctly and then named the environment variable that was missing and how long it has to be, to any anonymous caller: nobody who can act on that is reading an HTTP response, and the health endpoint one rung away has the rule written above it — whether each thing is present, and not one word more. And the order journey put the message off any Error on screen, which is every failure there is: a fetch that cannot leave the machine throws “Failed to fetch”, a response that does not match its schema throws a JSON dump of issue objects, and both were rendered into the payment panel under a heading about somebody’s dinner, while checkout and the account screens next door had narrowed to this application’s own error type all along. Each fix is small and each is now a rule rather than a patch: no route ships the validator’s notes, no response body names an environment variable, no screen reads a message off a bare Error — checked across every route and every component, over source with its comments stripped, because two suites have already been caught writing a rule that fails on the paragraph explaining it. Includes the flake that surfaced while running the gate: the lock suite’s control races four real processes without the lock and asserts they lose an increment, which is what makes the locked test above it mean anything — but on a loaded machine the four spawns can stagger far enough to serialise, and a perfect count came back on a change that touched nothing in that file, turning the whole verification gate red. It now races several times and fails only if not one race loses anything, which is what the claim always meant and is the difference between a claim and a coin toss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223</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35,550 hand-written lines over 223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223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223 days × 8 hours = 1784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1784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713,600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820,640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1,159,600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1,333,540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1,516,400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1,743,860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1,694,800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1,949,020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2,051,600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2,359,340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2,586,800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2,974,820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1,694,800 excluding VAT, or R 1,949,020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a refusal says, and to whom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223</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1,784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1,694,800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223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223</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1,784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1,694,800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1,984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1,884,800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2026-09-12T17:15:38.127Z</dcterms:created>
  <dcterms:modified xsi:type="dcterms:W3CDTF">2026-09-12T17:15:38.127Z</dcterms:modified>
</cp:coreProperties>
</file>

<file path=docProps/custom.xml><?xml version="1.0" encoding="utf-8"?>
<Properties xmlns="http://schemas.openxmlformats.org/officeDocument/2006/custom-properties" xmlns:vt="http://schemas.openxmlformats.org/officeDocument/2006/docPropsVTypes"/>
</file>