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before="0" w:after="120"/>
              <w:jc w:val="center"/>
            </w:pPr>
            <w:r>
              <w:rPr>
                <w:rFonts w:ascii="Arial" w:cs="Arial" w:eastAsia="Arial" w:hAnsi="Arial"/>
                <w:b/>
                <w:bCs/>
                <w:color w:val="C9A84C"/>
                <w:sz w:val="24"/>
                <w:szCs w:val="24"/>
              </w:rPr>
              <w:t xml:space="preserve">BRIEF DE PROYECTO</w:t>
            </w:r>
          </w:p>
          <w:p>
            <w:pPr>
              <w:spacing w:before="0" w:after="80"/>
              <w:jc w:val="center"/>
            </w:pPr>
            <w:r>
              <w:rPr>
                <w:rFonts w:ascii="Arial" w:cs="Arial" w:eastAsia="Arial" w:hAnsi="Arial"/>
                <w:b/>
                <w:bCs/>
                <w:color w:val="FFFFFF"/>
                <w:sz w:val="40"/>
                <w:szCs w:val="40"/>
              </w:rPr>
              <w:t xml:space="preserve">Sistema de Gestión y Venta</w:t>
            </w:r>
          </w:p>
          <w:p>
            <w:pPr>
              <w:spacing w:before="0" w:after="80"/>
              <w:jc w:val="center"/>
            </w:pPr>
            <w:r>
              <w:rPr>
                <w:rFonts w:ascii="Arial" w:cs="Arial" w:eastAsia="Arial" w:hAnsi="Arial"/>
                <w:b/>
                <w:bCs/>
                <w:color w:val="FFFFFF"/>
                <w:sz w:val="40"/>
                <w:szCs w:val="40"/>
              </w:rPr>
              <w:t xml:space="preserve">del Menaje Pignatelli</w:t>
            </w:r>
          </w:p>
          <w:p>
            <w:pPr>
              <w:spacing w:before="200" w:after="0"/>
              <w:jc w:val="center"/>
            </w:pPr>
            <w:r>
              <w:rPr>
                <w:rFonts w:ascii="Arial" w:cs="Arial" w:eastAsia="Arial" w:hAnsi="Arial"/>
                <w:i/>
                <w:iCs/>
                <w:color w:val="C9A84C"/>
                <w:sz w:val="20"/>
                <w:szCs w:val="20"/>
              </w:rPr>
              <w:t xml:space="preserve">Solaris · Costa Rica · 2026</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Cliente</w:t>
            </w:r>
          </w:p>
        </w:tc>
        <w:tc>
          <w:tcPr>
            <w:tcW w:type="dxa" w:w="6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Herederos de Doña Susan Pignatelli — Condominio Solaris, Costa Rica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Responsable</w:t>
            </w:r>
          </w:p>
        </w:tc>
        <w:tc>
          <w:tcPr>
            <w:tcW w:type="dxa" w:w="6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Gestor de ventas e inventario asignado por la familia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Fecha</w:t>
            </w:r>
          </w:p>
        </w:tc>
        <w:tc>
          <w:tcPr>
            <w:tcW w:type="dxa" w:w="6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Marzo 2026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Clasificación</w:t>
            </w:r>
          </w:p>
        </w:tc>
        <w:tc>
          <w:tcPr>
            <w:tcW w:type="dxa" w:w="6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Confidencial — Uso interno</w:t>
            </w:r>
          </w:p>
        </w:tc>
      </w:tr>
    </w:tbl>
    <w:p>
      <w:pPr>
        <w:spacing w:before="5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1. Antecedentes</w:t>
      </w:r>
    </w:p>
    <w:p>
      <w:pPr>
        <w:spacing w:before="80" w:after="80" w:line="320"/>
        <w:jc w:val="both"/>
      </w:pPr>
      <w:r>
        <w:rPr>
          <w:rFonts w:ascii="Arial" w:cs="Arial" w:eastAsia="Arial" w:hAnsi="Arial"/>
          <w:color w:val="1A1A1A"/>
          <w:sz w:val="20"/>
          <w:szCs w:val="20"/>
        </w:rPr>
        <w:t xml:space="preserve">Doña Susan Pignatelli fue propietaria de una extensa colección de antigüedades, obras de arte y objetos decorativos de alto valor, acumulados a lo largo de décadas en Europa y Latinoamérica. La colección se encuentra actualmente en el Condominio Solaris, en Costa Rica, y forma parte del patrimonio que sus herederos — hijos y nietos — han decidido vender de manera ordenada.</w:t>
      </w:r>
    </w:p>
    <w:p>
      <w:pPr>
        <w:spacing w:before="100" w:after="0"/>
      </w:pPr>
      <w:r>
        <w:t xml:space="preserve"/>
      </w:r>
    </w:p>
    <w:p>
      <w:pPr>
        <w:spacing w:before="80" w:after="80" w:line="320"/>
        <w:jc w:val="both"/>
      </w:pPr>
      <w:r>
        <w:rPr>
          <w:rFonts w:ascii="Arial" w:cs="Arial" w:eastAsia="Arial" w:hAnsi="Arial"/>
          <w:color w:val="1A1A1A"/>
          <w:sz w:val="20"/>
          <w:szCs w:val="20"/>
        </w:rPr>
        <w:t xml:space="preserve">En enero de 2016, la casa de subastas Sotheby's realizó una valoración formal de los artículos más significativos de la colección en su sede de Londres. Esa valoración — documentada en un catálogo oficial — constituye el referente de valor internacional más completo disponible sobre las piezas de mayor relevancia del menaje.</w:t>
      </w:r>
    </w:p>
    <w:p>
      <w:pPr>
        <w:spacing w:before="100" w:after="0"/>
      </w:pPr>
      <w:r>
        <w:t xml:space="preserve"/>
      </w:r>
    </w:p>
    <w:p>
      <w:pPr>
        <w:spacing w:before="80" w:after="80" w:line="320"/>
        <w:jc w:val="both"/>
      </w:pPr>
      <w:r>
        <w:rPr>
          <w:rFonts w:ascii="Arial" w:cs="Arial" w:eastAsia="Arial" w:hAnsi="Arial"/>
          <w:color w:val="1A1A1A"/>
          <w:sz w:val="20"/>
          <w:szCs w:val="20"/>
        </w:rPr>
        <w:t xml:space="preserve">Los herederos entregaron un inventario operativo de los artículos presentes en Solaris, organizado por zonas del apartamento (entrada, sala, cocina, dormitorios, terraza). Este inventario, junto con el catálogo fotográfico y la valoración de Sotheby's, son los insumos principales del proyecto.</w:t>
      </w:r>
    </w:p>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2. 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20"/>
              <w:bottom w:val="single" w:color="1F3864" w:sz="6"/>
              <w:right w:val="none" w:color="FFFFFF" w:sz="0"/>
            </w:tcBorders>
            <w:shd w:fill="EBF3FB" w:val="clear"/>
            <w:tcMar>
              <w:top w:type="dxa" w:w="120"/>
              <w:left w:type="dxa" w:w="200"/>
              <w:bottom w:type="dxa" w:w="120"/>
              <w:right w:type="dxa" w:w="200"/>
            </w:tcMar>
          </w:tcPr>
          <w:p>
            <w:pPr>
              <w:jc w:val="both"/>
            </w:pPr>
            <w:r>
              <w:rPr>
                <w:rFonts w:ascii="Arial" w:cs="Arial" w:eastAsia="Arial" w:hAnsi="Arial"/>
                <w:i/>
                <w:iCs/>
                <w:color w:val="1A1A1A"/>
                <w:sz w:val="20"/>
                <w:szCs w:val="20"/>
              </w:rPr>
              <w:t xml:space="preserve">Los herederos poseen un inventario valioso pero sin la estructura necesaria para venderlo eficientemente, de forma trazable y con pleno conocimiento del valor de lo que tienen.</w:t>
            </w:r>
          </w:p>
        </w:tc>
      </w:tr>
    </w:tbl>
    <w:p>
      <w:pPr>
        <w:spacing w:before="160" w:after="0"/>
      </w:pPr>
      <w:r>
        <w:t xml:space="preserve"/>
      </w:r>
    </w:p>
    <w:p>
      <w:pPr>
        <w:pStyle w:val="Heading2"/>
        <w:spacing w:before="280" w:after="100"/>
      </w:pPr>
      <w:r>
        <w:rPr>
          <w:rFonts w:ascii="Arial" w:cs="Arial" w:eastAsia="Arial" w:hAnsi="Arial"/>
          <w:b/>
          <w:bCs/>
          <w:color w:val="1F3864"/>
          <w:sz w:val="22"/>
          <w:szCs w:val="22"/>
        </w:rPr>
        <w:t xml:space="preserve">2.1 Fragmentación del inventario</w:t>
      </w:r>
    </w:p>
    <w:p>
      <w:pPr>
        <w:spacing w:before="80" w:after="80" w:line="320"/>
        <w:jc w:val="both"/>
      </w:pPr>
      <w:r>
        <w:rPr>
          <w:rFonts w:ascii="Arial" w:cs="Arial" w:eastAsia="Arial" w:hAnsi="Arial"/>
          <w:color w:val="1A1A1A"/>
          <w:sz w:val="20"/>
          <w:szCs w:val="20"/>
        </w:rPr>
        <w:t xml:space="preserve">El inventario entregado agrupa los artículos en lotes tal como están físicamente en el apartamento, no por categoría de objeto ni por valor. Un mismo lote puede contener piezas de naturaleza completamente distinta — una urna de mármol del siglo XIX junto a una cajita decorativa de metal — sin distinción de precio, descripción individual ni foto propia de cada pieza.</w:t>
      </w:r>
    </w:p>
    <w:p>
      <w:pPr>
        <w:spacing w:before="100" w:after="0"/>
      </w:pPr>
      <w:r>
        <w:t xml:space="preserve"/>
      </w:r>
    </w:p>
    <w:p>
      <w:pPr>
        <w:pStyle w:val="Heading2"/>
        <w:spacing w:before="280" w:after="100"/>
      </w:pPr>
      <w:r>
        <w:rPr>
          <w:rFonts w:ascii="Arial" w:cs="Arial" w:eastAsia="Arial" w:hAnsi="Arial"/>
          <w:b/>
          <w:bCs/>
          <w:color w:val="1F3864"/>
          <w:sz w:val="22"/>
          <w:szCs w:val="22"/>
        </w:rPr>
        <w:t xml:space="preserve">2.2 Desconexión entre el inventario y la valoración Sotheby's</w:t>
      </w:r>
    </w:p>
    <w:p>
      <w:pPr>
        <w:spacing w:before="80" w:after="80" w:line="320"/>
        <w:jc w:val="both"/>
      </w:pPr>
      <w:r>
        <w:rPr>
          <w:rFonts w:ascii="Arial" w:cs="Arial" w:eastAsia="Arial" w:hAnsi="Arial"/>
          <w:color w:val="1A1A1A"/>
          <w:sz w:val="20"/>
          <w:szCs w:val="20"/>
        </w:rPr>
        <w:t xml:space="preserve">Varios artículos del menaje fueron tasados por Sotheby's a precios significativamente más altos que los que los herederos están solicitando hoy. Sin embargo, no existe un cruce formal entre el inventario operativo y el catálogo de Sotheby's. Esto significa que los herederos pueden estar vendiendo piezas de alto valor internacional sin plena conciencia de lo que representan.</w:t>
      </w:r>
    </w:p>
    <w:p>
      <w:pPr>
        <w:spacing w:before="100" w:after="0"/>
      </w:pPr>
      <w:r>
        <w:t xml:space="preserve"/>
      </w:r>
    </w:p>
    <w:p>
      <w:pPr>
        <w:pStyle w:val="Heading2"/>
        <w:spacing w:before="280" w:after="100"/>
      </w:pPr>
      <w:r>
        <w:rPr>
          <w:rFonts w:ascii="Arial" w:cs="Arial" w:eastAsia="Arial" w:hAnsi="Arial"/>
          <w:b/>
          <w:bCs/>
          <w:color w:val="1F3864"/>
          <w:sz w:val="22"/>
          <w:szCs w:val="22"/>
        </w:rPr>
        <w:t xml:space="preserve">2.3 Ausencia de catálogo de venta</w:t>
      </w:r>
    </w:p>
    <w:p>
      <w:pPr>
        <w:spacing w:before="80" w:after="80" w:line="320"/>
        <w:jc w:val="both"/>
      </w:pPr>
      <w:r>
        <w:rPr>
          <w:rFonts w:ascii="Arial" w:cs="Arial" w:eastAsia="Arial" w:hAnsi="Arial"/>
          <w:color w:val="1A1A1A"/>
          <w:sz w:val="20"/>
          <w:szCs w:val="20"/>
        </w:rPr>
        <w:t xml:space="preserve">No existe actualmente un canal estructurado para presentar el inventario a potenciales compradores. Los artículos no tienen fichas individuales, fotos propias ni precios de venta claramente definidos. La gestión de interesados se realiza de forma manual, sin trazabilidad de quién consultó qué, ni registro de reservas o ventas.</w:t>
      </w:r>
    </w:p>
    <w:p>
      <w:pPr>
        <w:spacing w:before="100" w:after="0"/>
      </w:pPr>
      <w:r>
        <w:t xml:space="preserve"/>
      </w:r>
    </w:p>
    <w:p>
      <w:pPr>
        <w:pStyle w:val="Heading2"/>
        <w:spacing w:before="280" w:after="100"/>
      </w:pPr>
      <w:r>
        <w:rPr>
          <w:rFonts w:ascii="Arial" w:cs="Arial" w:eastAsia="Arial" w:hAnsi="Arial"/>
          <w:b/>
          <w:bCs/>
          <w:color w:val="1F3864"/>
          <w:sz w:val="22"/>
          <w:szCs w:val="22"/>
        </w:rPr>
        <w:t xml:space="preserve">2.4 Clasificación inadecuada para la venta</w:t>
      </w:r>
    </w:p>
    <w:p>
      <w:pPr>
        <w:spacing w:before="80" w:after="80" w:line="320"/>
        <w:jc w:val="both"/>
      </w:pPr>
      <w:r>
        <w:rPr>
          <w:rFonts w:ascii="Arial" w:cs="Arial" w:eastAsia="Arial" w:hAnsi="Arial"/>
          <w:color w:val="1A1A1A"/>
          <w:sz w:val="20"/>
          <w:szCs w:val="20"/>
        </w:rPr>
        <w:t xml:space="preserve">La organización por zonas del apartamento no es útil para un comprador. Quien busca porcelana china o platería del siglo XIX necesita ver todos los artículos de esa categoría juntos, con sus características y precio, independientemente de en qué habitación estén ubicados.</w:t>
      </w:r>
    </w:p>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3. Objetivo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20"/>
              <w:bottom w:val="single" w:color="1F3864" w:sz="6"/>
              <w:right w:val="none" w:color="FFFFFF" w:sz="0"/>
            </w:tcBorders>
            <w:shd w:fill="EBF3FB" w:val="clear"/>
            <w:tcMar>
              <w:top w:type="dxa" w:w="120"/>
              <w:left w:type="dxa" w:w="200"/>
              <w:bottom w:type="dxa" w:w="120"/>
              <w:right w:type="dxa" w:w="200"/>
            </w:tcMar>
          </w:tcPr>
          <w:p>
            <w:pPr>
              <w:jc w:val="both"/>
            </w:pPr>
            <w:r>
              <w:rPr>
                <w:rFonts w:ascii="Arial" w:cs="Arial" w:eastAsia="Arial" w:hAnsi="Arial"/>
                <w:i/>
                <w:iCs/>
                <w:color w:val="1A1A1A"/>
                <w:sz w:val="20"/>
                <w:szCs w:val="20"/>
              </w:rPr>
              <w:t xml:space="preserve">Construir un sistema integral de gestión y venta que transforme el inventario de lotes en un catálogo de artículos individuales, trazables, categorizados, con valoración de referencia y precio de venta definido — manteniendo siempre la transparencia con los herederos sobre el valor real de lo que se vende.</w:t>
            </w:r>
          </w:p>
        </w:tc>
      </w:tr>
    </w:tbl>
    <w:p>
      <w:pPr>
        <w:spacing w:before="160" w:after="0"/>
      </w:pPr>
      <w:r>
        <w:t xml:space="preserve"/>
      </w:r>
    </w:p>
    <w:p>
      <w:pPr>
        <w:spacing w:before="80" w:after="80" w:line="320"/>
        <w:jc w:val="both"/>
      </w:pPr>
      <w:r>
        <w:rPr>
          <w:rFonts w:ascii="Arial" w:cs="Arial" w:eastAsia="Arial" w:hAnsi="Arial"/>
          <w:color w:val="1A1A1A"/>
          <w:sz w:val="20"/>
          <w:szCs w:val="20"/>
        </w:rPr>
        <w:t xml:space="preserve">El sistema debe resolver cuatro necesidades concretas de forma simultánea:</w:t>
      </w:r>
    </w:p>
    <w:p>
      <w:pPr>
        <w:spacing w:before="80" w:after="0"/>
      </w:pPr>
      <w:r>
        <w:t xml:space="preserve"/>
      </w:r>
    </w:p>
    <w:p>
      <w:pPr>
        <w:pStyle w:val="ListParagraph"/>
        <w:numPr>
          <w:ilvl w:val="0"/>
          <w:numId w:val="2"/>
        </w:numPr>
        <w:spacing w:before="80" w:after="80" w:line="300"/>
      </w:pPr>
      <w:r>
        <w:rPr>
          <w:rFonts w:ascii="Arial" w:cs="Arial" w:eastAsia="Arial" w:hAnsi="Arial"/>
          <w:b/>
          <w:bCs/>
          <w:color w:val="1F3864"/>
          <w:sz w:val="20"/>
          <w:szCs w:val="20"/>
        </w:rPr>
        <w:t xml:space="preserve">Transparencia: </w:t>
      </w:r>
      <w:r>
        <w:rPr>
          <w:rFonts w:ascii="Arial" w:cs="Arial" w:eastAsia="Arial" w:hAnsi="Arial"/>
          <w:color w:val="1A1A1A"/>
          <w:sz w:val="20"/>
          <w:szCs w:val="20"/>
        </w:rPr>
        <w:t xml:space="preserve">Para los herederos: visibilidad clara de qué tienen, cuánto vale en el mercado internacional como referencia, y a qué precio se ofrece localmente — para que cada venta sea una decisión informada.</w:t>
      </w:r>
    </w:p>
    <w:p>
      <w:pPr>
        <w:pStyle w:val="ListParagraph"/>
        <w:numPr>
          <w:ilvl w:val="0"/>
          <w:numId w:val="2"/>
        </w:numPr>
        <w:spacing w:before="80" w:after="80" w:line="300"/>
      </w:pPr>
      <w:r>
        <w:rPr>
          <w:rFonts w:ascii="Arial" w:cs="Arial" w:eastAsia="Arial" w:hAnsi="Arial"/>
          <w:b/>
          <w:bCs/>
          <w:color w:val="1F3864"/>
          <w:sz w:val="20"/>
          <w:szCs w:val="20"/>
        </w:rPr>
        <w:t xml:space="preserve">Accesibilidad: </w:t>
      </w:r>
      <w:r>
        <w:rPr>
          <w:rFonts w:ascii="Arial" w:cs="Arial" w:eastAsia="Arial" w:hAnsi="Arial"/>
          <w:color w:val="1A1A1A"/>
          <w:sz w:val="20"/>
          <w:szCs w:val="20"/>
        </w:rPr>
        <w:t xml:space="preserve">Para los compradores: un catálogo profesional con foto, descripción, precio y canal de contacto directo, organizado por tipo de artículo.</w:t>
      </w:r>
    </w:p>
    <w:p>
      <w:pPr>
        <w:pStyle w:val="ListParagraph"/>
        <w:numPr>
          <w:ilvl w:val="0"/>
          <w:numId w:val="2"/>
        </w:numPr>
        <w:spacing w:before="80" w:after="80" w:line="300"/>
      </w:pPr>
      <w:r>
        <w:rPr>
          <w:rFonts w:ascii="Arial" w:cs="Arial" w:eastAsia="Arial" w:hAnsi="Arial"/>
          <w:b/>
          <w:bCs/>
          <w:color w:val="1F3864"/>
          <w:sz w:val="20"/>
          <w:szCs w:val="20"/>
        </w:rPr>
        <w:t xml:space="preserve">Trazabilidad: </w:t>
      </w:r>
      <w:r>
        <w:rPr>
          <w:rFonts w:ascii="Arial" w:cs="Arial" w:eastAsia="Arial" w:hAnsi="Arial"/>
          <w:color w:val="1A1A1A"/>
          <w:sz w:val="20"/>
          <w:szCs w:val="20"/>
        </w:rPr>
        <w:t xml:space="preserve">Para el gestor: trazabilidad completa de artículos, reservas, ventas y comisiones — con registro de qué se vendió, a quién, por cuánto y cuánto corresponde a cada parte.</w:t>
      </w:r>
    </w:p>
    <w:p>
      <w:pPr>
        <w:pStyle w:val="ListParagraph"/>
        <w:numPr>
          <w:ilvl w:val="0"/>
          <w:numId w:val="2"/>
        </w:numPr>
        <w:spacing w:before="80" w:after="80" w:line="300"/>
      </w:pPr>
      <w:r>
        <w:rPr>
          <w:rFonts w:ascii="Arial" w:cs="Arial" w:eastAsia="Arial" w:hAnsi="Arial"/>
          <w:b/>
          <w:bCs/>
          <w:color w:val="1F3864"/>
          <w:sz w:val="20"/>
          <w:szCs w:val="20"/>
        </w:rPr>
        <w:t xml:space="preserve">Coherencia: </w:t>
      </w:r>
      <w:r>
        <w:rPr>
          <w:rFonts w:ascii="Arial" w:cs="Arial" w:eastAsia="Arial" w:hAnsi="Arial"/>
          <w:color w:val="1A1A1A"/>
          <w:sz w:val="20"/>
          <w:szCs w:val="20"/>
        </w:rPr>
        <w:t xml:space="preserve">Para el sistema: identificación única de cada artículo usando como referencia primaria el número de Sotheby's donde existe, eliminando duplicidad de códigos.</w:t>
      </w:r>
    </w:p>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4. Alcance de la Solución</w:t>
      </w:r>
    </w:p>
    <w:p>
      <w:pPr>
        <w:pStyle w:val="Heading2"/>
        <w:spacing w:before="280" w:after="100"/>
      </w:pPr>
      <w:r>
        <w:rPr>
          <w:rFonts w:ascii="Arial" w:cs="Arial" w:eastAsia="Arial" w:hAnsi="Arial"/>
          <w:b/>
          <w:bCs/>
          <w:color w:val="1F3864"/>
          <w:sz w:val="22"/>
          <w:szCs w:val="22"/>
        </w:rPr>
        <w:t xml:space="preserve">4.1 Gestión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Función</w:t>
            </w:r>
          </w:p>
        </w:tc>
        <w:tc>
          <w:tcPr>
            <w:tcW w:type="dxa" w:w="5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Visor de lotes</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Consultar cada lote con foto original, descripción, precio de los dueños y estado (Disponible / Reservado / Vendido)</w:t>
            </w:r>
          </w:p>
        </w:tc>
      </w:tr>
      <w:tr>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Segregador de artículos</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Dentro de cada lote, definir artículos individuales con código único, descripción propia, foto individual y precio de venta</w:t>
            </w:r>
          </w:p>
        </w:tc>
      </w:tr>
      <w:tr>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Clasificación por categoría</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Porcelana, Cristalería, Muebles, Platería, Cuadros y Obras de Arte, Objetos Decorativos, Lámparas, entre otras</w:t>
            </w:r>
          </w:p>
        </w:tc>
      </w:tr>
      <w:tr>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Match Sotheby's</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Cruzar cada artículo contra el catálogo de Sotheby's 2016 para identificar valoración internacional</w:t>
            </w:r>
          </w:p>
        </w:tc>
      </w:tr>
      <w:tr>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Gestión de estados</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Registro de reservas (con nombre del interesado) y ventas (con precio final y forma de pago)</w:t>
            </w:r>
          </w:p>
        </w:tc>
      </w:tr>
    </w:tbl>
    <w:p>
      <w:pPr>
        <w:spacing w:before="160" w:after="0"/>
      </w:pPr>
      <w:r>
        <w:t xml:space="preserve"/>
      </w:r>
    </w:p>
    <w:p>
      <w:pPr>
        <w:pStyle w:val="Heading2"/>
        <w:spacing w:before="280" w:after="100"/>
      </w:pPr>
      <w:r>
        <w:rPr>
          <w:rFonts w:ascii="Arial" w:cs="Arial" w:eastAsia="Arial" w:hAnsi="Arial"/>
          <w:b/>
          <w:bCs/>
          <w:color w:val="1F3864"/>
          <w:sz w:val="22"/>
          <w:szCs w:val="22"/>
        </w:rPr>
        <w:t xml:space="preserve">4.2 Sistema de numeración unificado</w:t>
      </w:r>
    </w:p>
    <w:p>
      <w:pPr>
        <w:spacing w:before="80" w:after="80" w:line="320"/>
        <w:jc w:val="both"/>
      </w:pPr>
      <w:r>
        <w:rPr>
          <w:rFonts w:ascii="Arial" w:cs="Arial" w:eastAsia="Arial" w:hAnsi="Arial"/>
          <w:color w:val="1A1A1A"/>
          <w:sz w:val="20"/>
          <w:szCs w:val="20"/>
        </w:rPr>
        <w:t xml:space="preserve">Para eliminar el ruido de identificadores paralelos, el sistema adopta la siguiente lógica de codificación:</w:t>
      </w:r>
    </w:p>
    <w:p>
      <w:pPr>
        <w:spacing w:before="80" w:after="0"/>
      </w:pPr>
      <w:r>
        <w:t xml:space="preserve"/>
      </w:r>
    </w:p>
    <w:p>
      <w:pPr>
        <w:pStyle w:val="ListParagraph"/>
        <w:numPr>
          <w:ilvl w:val="0"/>
          <w:numId w:val="3"/>
        </w:numPr>
        <w:spacing w:before="60" w:after="60" w:line="300"/>
      </w:pPr>
      <w:r>
        <w:rPr>
          <w:rFonts w:ascii="Arial" w:cs="Arial" w:eastAsia="Arial" w:hAnsi="Arial"/>
          <w:color w:val="1A1A1A"/>
          <w:sz w:val="20"/>
          <w:szCs w:val="20"/>
        </w:rPr>
        <w:t xml:space="preserve">Los artículos que aparecen en el catálogo de Sotheby's adoptan el número de ese catálogo como identificador principal (ej. artículo 97 = reloj cartel Luis XV). La imagen se denomina igualmente 97.jpg.</w:t>
      </w:r>
    </w:p>
    <w:p>
      <w:pPr>
        <w:pStyle w:val="ListParagraph"/>
        <w:numPr>
          <w:ilvl w:val="0"/>
          <w:numId w:val="3"/>
        </w:numPr>
        <w:spacing w:before="60" w:after="60" w:line="300"/>
      </w:pPr>
      <w:r>
        <w:rPr>
          <w:rFonts w:ascii="Arial" w:cs="Arial" w:eastAsia="Arial" w:hAnsi="Arial"/>
          <w:color w:val="1A1A1A"/>
          <w:sz w:val="20"/>
          <w:szCs w:val="20"/>
        </w:rPr>
        <w:t xml:space="preserve">Los artículos sin valoración Sotheby's conservan el número de lote del inventario original (ej. lote 63 = sofá capitoné).</w:t>
      </w:r>
    </w:p>
    <w:p>
      <w:pPr>
        <w:pStyle w:val="ListParagraph"/>
        <w:numPr>
          <w:ilvl w:val="0"/>
          <w:numId w:val="3"/>
        </w:numPr>
        <w:spacing w:before="60" w:after="60" w:line="300"/>
      </w:pPr>
      <w:r>
        <w:rPr>
          <w:rFonts w:ascii="Arial" w:cs="Arial" w:eastAsia="Arial" w:hAnsi="Arial"/>
          <w:color w:val="1A1A1A"/>
          <w:sz w:val="20"/>
          <w:szCs w:val="20"/>
        </w:rPr>
        <w:t xml:space="preserve">Los artículos segregados de un lote reciben el número del lote más un sufijo alfabético (ej. 33-A = urnas de mármol negro, 33-B = cajitas decorativas).</w:t>
      </w:r>
    </w:p>
    <w:p>
      <w:pPr>
        <w:spacing w:before="160" w:after="0"/>
      </w:pPr>
      <w:r>
        <w:t xml:space="preserve"/>
      </w:r>
    </w:p>
    <w:p>
      <w:pPr>
        <w:pStyle w:val="Heading2"/>
        <w:spacing w:before="280" w:after="100"/>
      </w:pPr>
      <w:r>
        <w:rPr>
          <w:rFonts w:ascii="Arial" w:cs="Arial" w:eastAsia="Arial" w:hAnsi="Arial"/>
          <w:b/>
          <w:bCs/>
          <w:color w:val="1F3864"/>
          <w:sz w:val="22"/>
          <w:szCs w:val="22"/>
        </w:rPr>
        <w:t xml:space="preserve">4.3 Catálogo de venta</w:t>
      </w:r>
    </w:p>
    <w:p>
      <w:pPr>
        <w:spacing w:before="80" w:after="80" w:line="320"/>
        <w:jc w:val="both"/>
      </w:pPr>
      <w:r>
        <w:rPr>
          <w:rFonts w:ascii="Arial" w:cs="Arial" w:eastAsia="Arial" w:hAnsi="Arial"/>
          <w:color w:val="1A1A1A"/>
          <w:sz w:val="20"/>
          <w:szCs w:val="20"/>
        </w:rPr>
        <w:t xml:space="preserve">El catálogo visible para compradores incluye: foto del artículo, nombre, descripción, categoría, precio de lista (precio de los dueños + 30% de comisión del gestor), badge de valoración Sotheby's cuando aplique, y botón de contacto directo por WhatsApp.</w:t>
      </w:r>
    </w:p>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5. Flujo de Trabajo por Artículo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3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w:t>
            </w:r>
          </w:p>
        </w:tc>
        <w:tc>
          <w:tcPr>
            <w:tcW w:type="dxa" w:w="5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Seleccionar el lote en el sistema</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Vista de la foto original y descripción del inventario de los dueños</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Definir los artículos que contiene</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El sistema asigna código automático (lote-A, lote-B...) a cada artículo</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Fotografiar cada artículo individualmente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Foto propia subida al sistema, denominada con el código del artículo</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Verificar contra catálogo Sotheby's</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Si hay match, el sistema registra el rango de valoración internacional</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Confirmar precio de venta</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Precio de los dueños + 30% = precio lista visible en catálogo</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Publicar en catálogo</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El artículo aparece en la vista de compradores con toda la información</w:t>
            </w:r>
          </w:p>
        </w:tc>
      </w:tr>
    </w:tbl>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6. Estructura de Datos</w:t>
      </w:r>
    </w:p>
    <w:p>
      <w:pPr>
        <w:pStyle w:val="Heading2"/>
        <w:spacing w:before="280" w:after="100"/>
      </w:pPr>
      <w:r>
        <w:rPr>
          <w:rFonts w:ascii="Arial" w:cs="Arial" w:eastAsia="Arial" w:hAnsi="Arial"/>
          <w:b/>
          <w:bCs/>
          <w:color w:val="1F3864"/>
          <w:sz w:val="22"/>
          <w:szCs w:val="22"/>
        </w:rPr>
        <w:t xml:space="preserve">6.1 Fuentes de información</w:t>
      </w:r>
    </w:p>
    <w:p>
      <w:pPr>
        <w:pStyle w:val="ListParagraph"/>
        <w:numPr>
          <w:ilvl w:val="0"/>
          <w:numId w:val="3"/>
        </w:numPr>
        <w:spacing w:before="60" w:after="60" w:line="300"/>
      </w:pPr>
      <w:r>
        <w:rPr>
          <w:rFonts w:ascii="Arial" w:cs="Arial" w:eastAsia="Arial" w:hAnsi="Arial"/>
          <w:color w:val="1A1A1A"/>
          <w:sz w:val="20"/>
          <w:szCs w:val="20"/>
        </w:rPr>
        <w:t xml:space="preserve">Inventario de lotes (Excel INVENTARIO_MAESTRO): 191 lotes con nombre, categoría, precio dueños, estado y ubicación en el apartamento.</w:t>
      </w:r>
    </w:p>
    <w:p>
      <w:pPr>
        <w:pStyle w:val="ListParagraph"/>
        <w:numPr>
          <w:ilvl w:val="0"/>
          <w:numId w:val="3"/>
        </w:numPr>
        <w:spacing w:before="60" w:after="60" w:line="300"/>
      </w:pPr>
      <w:r>
        <w:rPr>
          <w:rFonts w:ascii="Arial" w:cs="Arial" w:eastAsia="Arial" w:hAnsi="Arial"/>
          <w:color w:val="1A1A1A"/>
          <w:sz w:val="20"/>
          <w:szCs w:val="20"/>
        </w:rPr>
        <w:t xml:space="preserve">Catálogo Sotheby's 2016 (PDF, 115 páginas): Valoración formal de los artículos de mayor relevancia de la colección, con número de referencia, descripción detallada y rango de precio en USD.</w:t>
      </w:r>
    </w:p>
    <w:p>
      <w:pPr>
        <w:pStyle w:val="ListParagraph"/>
        <w:numPr>
          <w:ilvl w:val="0"/>
          <w:numId w:val="3"/>
        </w:numPr>
        <w:spacing w:before="60" w:after="60" w:line="300"/>
      </w:pPr>
      <w:r>
        <w:rPr>
          <w:rFonts w:ascii="Arial" w:cs="Arial" w:eastAsia="Arial" w:hAnsi="Arial"/>
          <w:color w:val="1A1A1A"/>
          <w:sz w:val="20"/>
          <w:szCs w:val="20"/>
        </w:rPr>
        <w:t xml:space="preserve">Archivo fotográfico: Fotos de lotes numeradas secuencialmente (1.jpg... 191.jpg) y fotos individuales de artículos segregados.</w:t>
      </w:r>
    </w:p>
    <w:p>
      <w:pPr>
        <w:spacing w:before="120" w:after="0"/>
      </w:pPr>
      <w:r>
        <w:t xml:space="preserve"/>
      </w:r>
    </w:p>
    <w:p>
      <w:pPr>
        <w:pStyle w:val="Heading2"/>
        <w:spacing w:before="280" w:after="100"/>
      </w:pPr>
      <w:r>
        <w:rPr>
          <w:rFonts w:ascii="Arial" w:cs="Arial" w:eastAsia="Arial" w:hAnsi="Arial"/>
          <w:b/>
          <w:bCs/>
          <w:color w:val="1F3864"/>
          <w:sz w:val="22"/>
          <w:szCs w:val="22"/>
        </w:rPr>
        <w:t xml:space="preserve">6.2 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w:t>
            </w:r>
          </w:p>
        </w:tc>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Qué contiene</w:t>
            </w:r>
          </w:p>
        </w:tc>
        <w:tc>
          <w:tcPr>
            <w:tcW w:type="dxa" w:w="3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 quién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INVENTARIO_MAESTRO</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Lotes tal como los registraron los dueños — precio, estado, Sotheby's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Gestor y herederos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ARTICULOS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Piezas individuales segregadas, con código, foto y precio de venta</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Gestor</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CATALOGO_WEB</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Vista limpia para compradores con precio lista (+30%)</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Compradores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RESERVAS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Artículos reservados con nombre del interesado y precio Sotheby's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Gestor y herederos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VENTAS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Registro de ventas completadas con precio final y trazabilidad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Gestor y herederos</w:t>
            </w:r>
          </w:p>
        </w:tc>
      </w:tr>
    </w:tbl>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7. Consideraciones Clave</w:t>
      </w:r>
    </w:p>
    <w:p>
      <w:pPr>
        <w:pStyle w:val="Heading2"/>
        <w:spacing w:before="280" w:after="100"/>
      </w:pPr>
      <w:r>
        <w:rPr>
          <w:rFonts w:ascii="Arial" w:cs="Arial" w:eastAsia="Arial" w:hAnsi="Arial"/>
          <w:b/>
          <w:bCs/>
          <w:color w:val="1F3864"/>
          <w:sz w:val="22"/>
          <w:szCs w:val="22"/>
        </w:rPr>
        <w:t xml:space="preserve">7.1 Transparencia sobre el valor Sotheby's</w:t>
      </w:r>
    </w:p>
    <w:p>
      <w:pPr>
        <w:spacing w:before="80" w:after="80" w:line="320"/>
        <w:jc w:val="both"/>
      </w:pPr>
      <w:r>
        <w:rPr>
          <w:rFonts w:ascii="Arial" w:cs="Arial" w:eastAsia="Arial" w:hAnsi="Arial"/>
          <w:color w:val="1A1A1A"/>
          <w:sz w:val="20"/>
          <w:szCs w:val="20"/>
        </w:rPr>
        <w:t xml:space="preserve">El rango de valoración de Sotheby's se registra exclusivamente como referencia informativa. No modifica el precio de venta que los herederos asignaron. Su propósito es garantizar que cada venta se realice con pleno conocimiento del valor de mercado internacional de la pieza transada. Si un heredero decide vender un artículo por un precio significativamente inferior a su valoración Sotheby's, esa es su decisión — pero debe ser una decisión documentada y consciente.</w:t>
      </w:r>
    </w:p>
    <w:p>
      <w:pPr>
        <w:spacing w:before="100" w:after="0"/>
      </w:pPr>
      <w:r>
        <w:t xml:space="preserve"/>
      </w:r>
    </w:p>
    <w:p>
      <w:pPr>
        <w:pStyle w:val="Heading2"/>
        <w:spacing w:before="280" w:after="100"/>
      </w:pPr>
      <w:r>
        <w:rPr>
          <w:rFonts w:ascii="Arial" w:cs="Arial" w:eastAsia="Arial" w:hAnsi="Arial"/>
          <w:b/>
          <w:bCs/>
          <w:color w:val="1F3864"/>
          <w:sz w:val="22"/>
          <w:szCs w:val="22"/>
        </w:rPr>
        <w:t xml:space="preserve">7.2 Respeto a los precios de los dueños</w:t>
      </w:r>
    </w:p>
    <w:p>
      <w:pPr>
        <w:spacing w:before="80" w:after="80" w:line="320"/>
        <w:jc w:val="both"/>
      </w:pPr>
      <w:r>
        <w:rPr>
          <w:rFonts w:ascii="Arial" w:cs="Arial" w:eastAsia="Arial" w:hAnsi="Arial"/>
          <w:color w:val="1A1A1A"/>
          <w:sz w:val="20"/>
          <w:szCs w:val="20"/>
        </w:rPr>
        <w:t xml:space="preserve">Los precios base de venta son los que fijaron los herederos en su inventario. El sistema no ajusta ni sugiere cambios en esos precios. La comisión del gestor (30%) se suma al precio base para calcular el precio de lista público, de forma que los herederos reciben exactamente lo que solicitaron y el gestor recibe su compensación sin afectar el acuerdo familiar.</w:t>
      </w:r>
    </w:p>
    <w:p>
      <w:pPr>
        <w:spacing w:before="100" w:after="0"/>
      </w:pPr>
      <w:r>
        <w:t xml:space="preserve"/>
      </w:r>
    </w:p>
    <w:p>
      <w:pPr>
        <w:pStyle w:val="Heading2"/>
        <w:spacing w:before="280" w:after="100"/>
      </w:pPr>
      <w:r>
        <w:rPr>
          <w:rFonts w:ascii="Arial" w:cs="Arial" w:eastAsia="Arial" w:hAnsi="Arial"/>
          <w:b/>
          <w:bCs/>
          <w:color w:val="1F3864"/>
          <w:sz w:val="22"/>
          <w:szCs w:val="22"/>
        </w:rPr>
        <w:t xml:space="preserve">7.3 Trazabilidad permanente del lote</w:t>
      </w:r>
    </w:p>
    <w:p>
      <w:pPr>
        <w:spacing w:before="80" w:after="80" w:line="320"/>
        <w:jc w:val="both"/>
      </w:pPr>
      <w:r>
        <w:rPr>
          <w:rFonts w:ascii="Arial" w:cs="Arial" w:eastAsia="Arial" w:hAnsi="Arial"/>
          <w:color w:val="1A1A1A"/>
          <w:sz w:val="20"/>
          <w:szCs w:val="20"/>
        </w:rPr>
        <w:t xml:space="preserve">Todo artículo segregado mantiene referencia visible a su lote de origen. Esto permite a los herederos entender en todo momento qué artículo proviene de qué lote de su inventario, garantizando coherencia entre el sistema de gestión y la realidad física del apartamento durante el proceso de venta.</w:t>
      </w:r>
    </w:p>
    <w:p>
      <w:pPr>
        <w:spacing w:before="200" w:after="0"/>
      </w:pPr>
      <w:r>
        <w:t xml:space="preserve"/>
      </w:r>
    </w:p>
    <w:p>
      <w:pPr>
        <w:pStyle w:val="Heading1"/>
        <w:pBdr>
          <w:bottom w:val="single" w:color="C9A84C" w:sz="8" w:space="6"/>
        </w:pBdr>
        <w:spacing w:before="400" w:after="160"/>
      </w:pPr>
      <w:r>
        <w:rPr>
          <w:rFonts w:ascii="Arial" w:cs="Arial" w:eastAsia="Arial" w:hAnsi="Arial"/>
          <w:b/>
          <w:bCs/>
          <w:color w:val="1F3864"/>
          <w:sz w:val="28"/>
          <w:szCs w:val="28"/>
        </w:rPr>
        <w:t xml:space="preserve">8. Entregables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4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w:t>
            </w:r>
          </w:p>
        </w:tc>
        <w:tc>
          <w:tcPr>
            <w:tcW w:type="dxa" w:w="47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Inventario maestro completo</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191+ artículos individuales identificados, codificados, categorizados y con precio</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Cruce Sotheby's completo</w:t>
            </w:r>
          </w:p>
        </w:tc>
        <w:tc>
          <w:tcPr>
            <w:tcW w:type="dxa" w:w="4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Todos los artículos con valoración internacional identificados y vinculados</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Archivo fotográfico individual</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Foto propia de cada artículo, denominada con su código de identificación</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Sistema de gestión (aplicación web)</w:t>
            </w:r>
          </w:p>
        </w:tc>
        <w:tc>
          <w:tcPr>
            <w:tcW w:type="dxa" w:w="4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Plataforma para gestionar lotes, artículos, reservas y ventas</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Catálogo de venta público</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Vista para compradores con foto, descripción, precio y contacto</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Reporte de trazabilidad</w:t>
            </w:r>
          </w:p>
        </w:tc>
        <w:tc>
          <w:tcPr>
            <w:tcW w:type="dxa" w:w="4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Registro actualizado de vendido, reservado y disponible para los herederos</w:t>
            </w:r>
          </w:p>
        </w:tc>
      </w:tr>
    </w:tbl>
    <w:p>
      <w:pPr>
        <w:spacing w:before="300" w:after="0"/>
      </w:pPr>
      <w:r>
        <w:t xml:space="preserve"/>
      </w:r>
    </w:p>
    <w:p>
      <w:pPr>
        <w:pBdr>
          <w:bottom w:val="single" w:color="D9D9D9" w:sz="4" w:space="1"/>
        </w:pBdr>
        <w:spacing w:before="160" w:after="160"/>
      </w:pPr>
      <w:r>
        <w:t xml:space="preserve"/>
      </w:r>
    </w:p>
    <w:p>
      <w:pPr>
        <w:spacing w:before="200" w:after="0"/>
        <w:jc w:val="center"/>
      </w:pPr>
      <w:r>
        <w:rPr>
          <w:rFonts w:ascii="Arial" w:cs="Arial" w:eastAsia="Arial" w:hAnsi="Arial"/>
          <w:i/>
          <w:iCs/>
          <w:color w:val="555555"/>
          <w:sz w:val="16"/>
          <w:szCs w:val="16"/>
        </w:rPr>
        <w:t xml:space="preserve">Documento confidencial — Colección Pignatelli · Solaris, Costa Rica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before="80"/>
    </w:pPr>
    <w:r>
      <w:rPr>
        <w:rFonts w:ascii="Arial" w:cs="Arial" w:eastAsia="Arial" w:hAnsi="Arial"/>
        <w:color w:val="555555"/>
        <w:sz w:val="16"/>
        <w:szCs w:val="16"/>
      </w:rPr>
      <w:t xml:space="preserve">Confidencial — Uso interno</w:t>
    </w:r>
    <w:r>
      <w:rPr>
        <w:rFonts w:ascii="Arial" w:cs="Arial" w:eastAsia="Arial" w:hAnsi="Arial"/>
        <w:color w:val="555555"/>
        <w:sz w:val="16"/>
        <w:szCs w:val="16"/>
      </w:rPr>
      <w:t xml:space="preserve">	Página </w:t>
    </w:r>
    <w:r>
      <w:rPr>
        <w:rFonts w:ascii="Arial" w:cs="Arial" w:eastAsia="Arial" w:hAnsi="Arial"/>
        <w:color w:val="555555"/>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F3864" w:val="clear"/>
          <w:tcMar>
            <w:top w:type="dxa" w:w="100"/>
            <w:left w:type="dxa" w:w="200"/>
            <w:bottom w:type="dxa" w:w="100"/>
            <w:right w:type="dxa" w:w="100"/>
          </w:tcMar>
          <w:vAlign w:val="center"/>
        </w:tcPr>
        <w:p>
          <w:r>
            <w:rPr>
              <w:rFonts w:ascii="Arial" w:cs="Arial" w:eastAsia="Arial" w:hAnsi="Arial"/>
              <w:b/>
              <w:bCs/>
              <w:color w:val="FFFFFF"/>
              <w:sz w:val="16"/>
              <w:szCs w:val="16"/>
            </w:rPr>
            <w:t xml:space="preserve">COLECCIÓN PIGNATELLI — SOLARIS, COSTA RICA</w:t>
          </w:r>
        </w:p>
      </w:tc>
      <w:tc>
        <w:tcPr>
          <w:tcW w:type="dxa" w:w="3360"/>
          <w:tcBorders>
            <w:top w:val="none" w:color="FFFFFF" w:sz="0"/>
            <w:left w:val="none" w:color="FFFFFF" w:sz="0"/>
            <w:bottom w:val="none" w:color="FFFFFF" w:sz="0"/>
            <w:right w:val="none" w:color="FFFFFF" w:sz="0"/>
          </w:tcBorders>
          <w:shd w:fill="C9A84C" w:val="clear"/>
          <w:tcMar>
            <w:top w:type="dxa" w:w="100"/>
            <w:left w:type="dxa" w:w="100"/>
            <w:bottom w:type="dxa" w:w="100"/>
            <w:right w:type="dxa" w:w="200"/>
          </w:tcMar>
          <w:vAlign w:val="center"/>
        </w:tcPr>
        <w:p>
          <w:pPr>
            <w:jc w:val="right"/>
          </w:pPr>
          <w:r>
            <w:rPr>
              <w:rFonts w:ascii="Arial" w:cs="Arial" w:eastAsia="Arial" w:hAnsi="Arial"/>
              <w:color w:val="1F3864"/>
              <w:sz w:val="16"/>
              <w:szCs w:val="16"/>
            </w:rPr>
            <w:t xml:space="preserve">Brief de Proyecto — Marzo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2026-03-28T20:03:14.754Z</dcterms:created>
  <dcterms:modified xsi:type="dcterms:W3CDTF">2026-03-28T20:03:14.755Z</dcterms:modified>
</cp:coreProperties>
</file>

<file path=docProps/custom.xml><?xml version="1.0" encoding="utf-8"?>
<Properties xmlns="http://schemas.openxmlformats.org/officeDocument/2006/custom-properties" xmlns:vt="http://schemas.openxmlformats.org/officeDocument/2006/docPropsVTypes"/>
</file>