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Feature Importance Report</w:t>
      </w:r>
    </w:p>
    <w:p>
      <w:pPr>
        <w:jc w:val="center"/>
      </w:pPr>
      <w:r>
        <w:rPr>
          <w:i/>
          <w:sz w:val="20"/>
        </w:rPr>
        <w:t>AnalystLab Africa — Week 3</w:t>
      </w:r>
    </w:p>
    <w:p>
      <w:r>
        <w:t>Selected model: Logistic Regression. Importance method: permutation importance using ROC-AUC on the hold-out test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Importance</w:t>
            </w:r>
          </w:p>
        </w:tc>
        <w:tc>
          <w:tcPr>
            <w:tcW w:type="dxa" w:w="2880"/>
          </w:tcPr>
          <w:p>
            <w:r>
              <w:t>Std</w:t>
            </w:r>
          </w:p>
        </w:tc>
      </w:tr>
      <w:tr>
        <w:tc>
          <w:tcPr>
            <w:tcW w:type="dxa" w:w="2880"/>
          </w:tcPr>
          <w:p>
            <w:r>
              <w:t>MonthlyIncome</w:t>
            </w:r>
          </w:p>
        </w:tc>
        <w:tc>
          <w:tcPr>
            <w:tcW w:type="dxa" w:w="2880"/>
          </w:tcPr>
          <w:p>
            <w:r>
              <w:t>0.06178</w:t>
            </w:r>
          </w:p>
        </w:tc>
        <w:tc>
          <w:tcPr>
            <w:tcW w:type="dxa" w:w="2880"/>
          </w:tcPr>
          <w:p>
            <w:r>
              <w:t>0.01791</w:t>
            </w:r>
          </w:p>
        </w:tc>
      </w:tr>
      <w:tr>
        <w:tc>
          <w:tcPr>
            <w:tcW w:type="dxa" w:w="2880"/>
          </w:tcPr>
          <w:p>
            <w:r>
              <w:t>OverTime_Yes</w:t>
            </w:r>
          </w:p>
        </w:tc>
        <w:tc>
          <w:tcPr>
            <w:tcW w:type="dxa" w:w="2880"/>
          </w:tcPr>
          <w:p>
            <w:r>
              <w:t>0.04174</w:t>
            </w:r>
          </w:p>
        </w:tc>
        <w:tc>
          <w:tcPr>
            <w:tcW w:type="dxa" w:w="2880"/>
          </w:tcPr>
          <w:p>
            <w:r>
              <w:t>0.01063</w:t>
            </w:r>
          </w:p>
        </w:tc>
      </w:tr>
      <w:tr>
        <w:tc>
          <w:tcPr>
            <w:tcW w:type="dxa" w:w="2880"/>
          </w:tcPr>
          <w:p>
            <w:r>
              <w:t>OverTimeIndicator</w:t>
            </w:r>
          </w:p>
        </w:tc>
        <w:tc>
          <w:tcPr>
            <w:tcW w:type="dxa" w:w="2880"/>
          </w:tcPr>
          <w:p>
            <w:r>
              <w:t>0.04174</w:t>
            </w:r>
          </w:p>
        </w:tc>
        <w:tc>
          <w:tcPr>
            <w:tcW w:type="dxa" w:w="2880"/>
          </w:tcPr>
          <w:p>
            <w:r>
              <w:t>0.01063</w:t>
            </w:r>
          </w:p>
        </w:tc>
      </w:tr>
      <w:tr>
        <w:tc>
          <w:tcPr>
            <w:tcW w:type="dxa" w:w="2880"/>
          </w:tcPr>
          <w:p>
            <w:r>
              <w:t>YearsSincePromotion</w:t>
            </w:r>
          </w:p>
        </w:tc>
        <w:tc>
          <w:tcPr>
            <w:tcW w:type="dxa" w:w="2880"/>
          </w:tcPr>
          <w:p>
            <w:r>
              <w:t>0.03518</w:t>
            </w:r>
          </w:p>
        </w:tc>
        <w:tc>
          <w:tcPr>
            <w:tcW w:type="dxa" w:w="2880"/>
          </w:tcPr>
          <w:p>
            <w:r>
              <w:t>0.01047</w:t>
            </w:r>
          </w:p>
        </w:tc>
      </w:tr>
      <w:tr>
        <w:tc>
          <w:tcPr>
            <w:tcW w:type="dxa" w:w="2880"/>
          </w:tcPr>
          <w:p>
            <w:r>
              <w:t>MaritalStatus_Single</w:t>
            </w:r>
          </w:p>
        </w:tc>
        <w:tc>
          <w:tcPr>
            <w:tcW w:type="dxa" w:w="2880"/>
          </w:tcPr>
          <w:p>
            <w:r>
              <w:t>0.01503</w:t>
            </w:r>
          </w:p>
        </w:tc>
        <w:tc>
          <w:tcPr>
            <w:tcW w:type="dxa" w:w="2880"/>
          </w:tcPr>
          <w:p>
            <w:r>
              <w:t>0.00552</w:t>
            </w:r>
          </w:p>
        </w:tc>
      </w:tr>
      <w:tr>
        <w:tc>
          <w:tcPr>
            <w:tcW w:type="dxa" w:w="2880"/>
          </w:tcPr>
          <w:p>
            <w:r>
              <w:t>StockOptionLevel</w:t>
            </w:r>
          </w:p>
        </w:tc>
        <w:tc>
          <w:tcPr>
            <w:tcW w:type="dxa" w:w="2880"/>
          </w:tcPr>
          <w:p>
            <w:r>
              <w:t>0.01190</w:t>
            </w:r>
          </w:p>
        </w:tc>
        <w:tc>
          <w:tcPr>
            <w:tcW w:type="dxa" w:w="2880"/>
          </w:tcPr>
          <w:p>
            <w:r>
              <w:t>0.00645</w:t>
            </w:r>
          </w:p>
        </w:tc>
      </w:tr>
      <w:tr>
        <w:tc>
          <w:tcPr>
            <w:tcW w:type="dxa" w:w="2880"/>
          </w:tcPr>
          <w:p>
            <w:r>
              <w:t>JobInvolvement</w:t>
            </w:r>
          </w:p>
        </w:tc>
        <w:tc>
          <w:tcPr>
            <w:tcW w:type="dxa" w:w="2880"/>
          </w:tcPr>
          <w:p>
            <w:r>
              <w:t>0.01169</w:t>
            </w:r>
          </w:p>
        </w:tc>
        <w:tc>
          <w:tcPr>
            <w:tcW w:type="dxa" w:w="2880"/>
          </w:tcPr>
          <w:p>
            <w:r>
              <w:t>0.00887</w:t>
            </w:r>
          </w:p>
        </w:tc>
      </w:tr>
      <w:tr>
        <w:tc>
          <w:tcPr>
            <w:tcW w:type="dxa" w:w="2880"/>
          </w:tcPr>
          <w:p>
            <w:r>
              <w:t>NumberOfCompaniesWorked</w:t>
            </w:r>
          </w:p>
        </w:tc>
        <w:tc>
          <w:tcPr>
            <w:tcW w:type="dxa" w:w="2880"/>
          </w:tcPr>
          <w:p>
            <w:r>
              <w:t>0.00970</w:t>
            </w:r>
          </w:p>
        </w:tc>
        <w:tc>
          <w:tcPr>
            <w:tcW w:type="dxa" w:w="2880"/>
          </w:tcPr>
          <w:p>
            <w:r>
              <w:t>0.00839</w:t>
            </w:r>
          </w:p>
        </w:tc>
      </w:tr>
      <w:tr>
        <w:tc>
          <w:tcPr>
            <w:tcW w:type="dxa" w:w="2880"/>
          </w:tcPr>
          <w:p>
            <w:r>
              <w:t>YearsWithCompany</w:t>
            </w:r>
          </w:p>
        </w:tc>
        <w:tc>
          <w:tcPr>
            <w:tcW w:type="dxa" w:w="2880"/>
          </w:tcPr>
          <w:p>
            <w:r>
              <w:t>0.00826</w:t>
            </w:r>
          </w:p>
        </w:tc>
        <w:tc>
          <w:tcPr>
            <w:tcW w:type="dxa" w:w="2880"/>
          </w:tcPr>
          <w:p>
            <w:r>
              <w:t>0.00378</w:t>
            </w:r>
          </w:p>
        </w:tc>
      </w:tr>
      <w:tr>
        <w:tc>
          <w:tcPr>
            <w:tcW w:type="dxa" w:w="2880"/>
          </w:tcPr>
          <w:p>
            <w:r>
              <w:t>DistanceFromHome</w:t>
            </w:r>
          </w:p>
        </w:tc>
        <w:tc>
          <w:tcPr>
            <w:tcW w:type="dxa" w:w="2880"/>
          </w:tcPr>
          <w:p>
            <w:r>
              <w:t>0.00596</w:t>
            </w:r>
          </w:p>
        </w:tc>
        <w:tc>
          <w:tcPr>
            <w:tcW w:type="dxa" w:w="2880"/>
          </w:tcPr>
          <w:p>
            <w:r>
              <w:t>0.00638</w:t>
            </w:r>
          </w:p>
        </w:tc>
      </w:tr>
      <w:tr>
        <w:tc>
          <w:tcPr>
            <w:tcW w:type="dxa" w:w="2880"/>
          </w:tcPr>
          <w:p>
            <w:r>
              <w:t>TrainingTimesLastYear</w:t>
            </w:r>
          </w:p>
        </w:tc>
        <w:tc>
          <w:tcPr>
            <w:tcW w:type="dxa" w:w="2880"/>
          </w:tcPr>
          <w:p>
            <w:r>
              <w:t>0.00471</w:t>
            </w:r>
          </w:p>
        </w:tc>
        <w:tc>
          <w:tcPr>
            <w:tcW w:type="dxa" w:w="2880"/>
          </w:tcPr>
          <w:p>
            <w:r>
              <w:t>0.00224</w:t>
            </w:r>
          </w:p>
        </w:tc>
      </w:tr>
      <w:tr>
        <w:tc>
          <w:tcPr>
            <w:tcW w:type="dxa" w:w="2880"/>
          </w:tcPr>
          <w:p>
            <w:r>
              <w:t>YearsWithCurrManager</w:t>
            </w:r>
          </w:p>
        </w:tc>
        <w:tc>
          <w:tcPr>
            <w:tcW w:type="dxa" w:w="2880"/>
          </w:tcPr>
          <w:p>
            <w:r>
              <w:t>0.00452</w:t>
            </w:r>
          </w:p>
        </w:tc>
        <w:tc>
          <w:tcPr>
            <w:tcW w:type="dxa" w:w="2880"/>
          </w:tcPr>
          <w:p>
            <w:r>
              <w:t>0.01009</w:t>
            </w:r>
          </w:p>
        </w:tc>
      </w:tr>
      <w:tr>
        <w:tc>
          <w:tcPr>
            <w:tcW w:type="dxa" w:w="2880"/>
          </w:tcPr>
          <w:p>
            <w:r>
              <w:t>PercentSalaryHike</w:t>
            </w:r>
          </w:p>
        </w:tc>
        <w:tc>
          <w:tcPr>
            <w:tcW w:type="dxa" w:w="2880"/>
          </w:tcPr>
          <w:p>
            <w:r>
              <w:t>0.00295</w:t>
            </w:r>
          </w:p>
        </w:tc>
        <w:tc>
          <w:tcPr>
            <w:tcW w:type="dxa" w:w="2880"/>
          </w:tcPr>
          <w:p>
            <w:r>
              <w:t>0.00303</w:t>
            </w:r>
          </w:p>
        </w:tc>
      </w:tr>
      <w:tr>
        <w:tc>
          <w:tcPr>
            <w:tcW w:type="dxa" w:w="2880"/>
          </w:tcPr>
          <w:p>
            <w:r>
              <w:t>EnvironmentSatisfaction</w:t>
            </w:r>
          </w:p>
        </w:tc>
        <w:tc>
          <w:tcPr>
            <w:tcW w:type="dxa" w:w="2880"/>
          </w:tcPr>
          <w:p>
            <w:r>
              <w:t>0.00211</w:t>
            </w:r>
          </w:p>
        </w:tc>
        <w:tc>
          <w:tcPr>
            <w:tcW w:type="dxa" w:w="2880"/>
          </w:tcPr>
          <w:p>
            <w:r>
              <w:t>0.00394</w:t>
            </w:r>
          </w:p>
        </w:tc>
      </w:tr>
      <w:tr>
        <w:tc>
          <w:tcPr>
            <w:tcW w:type="dxa" w:w="2880"/>
          </w:tcPr>
          <w:p>
            <w:r>
              <w:t>JobSatisfaction</w:t>
            </w:r>
          </w:p>
        </w:tc>
        <w:tc>
          <w:tcPr>
            <w:tcW w:type="dxa" w:w="2880"/>
          </w:tcPr>
          <w:p>
            <w:r>
              <w:t>0.00202</w:t>
            </w:r>
          </w:p>
        </w:tc>
        <w:tc>
          <w:tcPr>
            <w:tcW w:type="dxa" w:w="2880"/>
          </w:tcPr>
          <w:p>
            <w:r>
              <w:t>0.00276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leading features are useful for prioritising HR analytics attention. However, predictive importance does not establish that changing a feature will directly cause attrition to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