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Model Evaluation Report</w:t>
      </w:r>
    </w:p>
    <w:p>
      <w:pPr>
        <w:jc w:val="center"/>
      </w:pPr>
      <w:r>
        <w:rPr>
          <w:i/>
          <w:sz w:val="20"/>
        </w:rPr>
        <w:t>AnalystLab Africa — Week 3</w:t>
      </w:r>
    </w:p>
    <w:p>
      <w:pPr>
        <w:pStyle w:val="Heading1"/>
      </w:pPr>
      <w:r>
        <w:t>Evaluation Dataset</w:t>
      </w:r>
    </w:p>
    <w:p>
      <w:r>
        <w:t>Training set: 1,176 records. Hold-out test set: 294 records. Target: Attrition.</w:t>
      </w:r>
    </w:p>
    <w:p>
      <w:pPr>
        <w:pStyle w:val="Heading1"/>
      </w:pPr>
      <w:r>
        <w:t>Performance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ROC-AUC</w:t>
            </w:r>
          </w:p>
        </w:tc>
      </w:tr>
      <w:tr>
        <w:tc>
          <w:tcPr>
            <w:tcW w:type="dxa" w:w="1440"/>
          </w:tcPr>
          <w:p>
            <w:r>
              <w:t>Logistic Regression</w:t>
            </w:r>
          </w:p>
        </w:tc>
        <w:tc>
          <w:tcPr>
            <w:tcW w:type="dxa" w:w="1440"/>
          </w:tcPr>
          <w:p>
            <w:r>
              <w:t>0.7381</w:t>
            </w:r>
          </w:p>
        </w:tc>
        <w:tc>
          <w:tcPr>
            <w:tcW w:type="dxa" w:w="1440"/>
          </w:tcPr>
          <w:p>
            <w:r>
              <w:t>0.3500</w:t>
            </w:r>
          </w:p>
        </w:tc>
        <w:tc>
          <w:tcPr>
            <w:tcW w:type="dxa" w:w="1440"/>
          </w:tcPr>
          <w:p>
            <w:r>
              <w:t>0.7447</w:t>
            </w:r>
          </w:p>
        </w:tc>
        <w:tc>
          <w:tcPr>
            <w:tcW w:type="dxa" w:w="1440"/>
          </w:tcPr>
          <w:p>
            <w:r>
              <w:t>0.4762</w:t>
            </w:r>
          </w:p>
        </w:tc>
        <w:tc>
          <w:tcPr>
            <w:tcW w:type="dxa" w:w="1440"/>
          </w:tcPr>
          <w:p>
            <w:r>
              <w:t>0.8101</w:t>
            </w:r>
          </w:p>
        </w:tc>
      </w:tr>
      <w:tr>
        <w:tc>
          <w:tcPr>
            <w:tcW w:type="dxa" w:w="1440"/>
          </w:tcPr>
          <w:p>
            <w:r>
              <w:t>Random Forest</w:t>
            </w:r>
          </w:p>
        </w:tc>
        <w:tc>
          <w:tcPr>
            <w:tcW w:type="dxa" w:w="1440"/>
          </w:tcPr>
          <w:p>
            <w:r>
              <w:t>0.8265</w:t>
            </w:r>
          </w:p>
        </w:tc>
        <w:tc>
          <w:tcPr>
            <w:tcW w:type="dxa" w:w="1440"/>
          </w:tcPr>
          <w:p>
            <w:r>
              <w:t>0.4167</w:t>
            </w:r>
          </w:p>
        </w:tc>
        <w:tc>
          <w:tcPr>
            <w:tcW w:type="dxa" w:w="1440"/>
          </w:tcPr>
          <w:p>
            <w:r>
              <w:t>0.2128</w:t>
            </w:r>
          </w:p>
        </w:tc>
        <w:tc>
          <w:tcPr>
            <w:tcW w:type="dxa" w:w="1440"/>
          </w:tcPr>
          <w:p>
            <w:r>
              <w:t>0.2817</w:t>
            </w:r>
          </w:p>
        </w:tc>
        <w:tc>
          <w:tcPr>
            <w:tcW w:type="dxa" w:w="1440"/>
          </w:tcPr>
          <w:p>
            <w:r>
              <w:t>0.7684</w:t>
            </w:r>
          </w:p>
        </w:tc>
      </w:tr>
      <w:tr>
        <w:tc>
          <w:tcPr>
            <w:tcW w:type="dxa" w:w="1440"/>
          </w:tcPr>
          <w:p>
            <w:r>
              <w:t>XGBoost</w:t>
            </w:r>
          </w:p>
        </w:tc>
        <w:tc>
          <w:tcPr>
            <w:tcW w:type="dxa" w:w="1440"/>
          </w:tcPr>
          <w:p>
            <w:r>
              <w:t>0.8027</w:t>
            </w:r>
          </w:p>
        </w:tc>
        <w:tc>
          <w:tcPr>
            <w:tcW w:type="dxa" w:w="1440"/>
          </w:tcPr>
          <w:p>
            <w:r>
              <w:t>0.3878</w:t>
            </w:r>
          </w:p>
        </w:tc>
        <w:tc>
          <w:tcPr>
            <w:tcW w:type="dxa" w:w="1440"/>
          </w:tcPr>
          <w:p>
            <w:r>
              <w:t>0.4043</w:t>
            </w:r>
          </w:p>
        </w:tc>
        <w:tc>
          <w:tcPr>
            <w:tcW w:type="dxa" w:w="1440"/>
          </w:tcPr>
          <w:p>
            <w:r>
              <w:t>0.3958</w:t>
            </w:r>
          </w:p>
        </w:tc>
        <w:tc>
          <w:tcPr>
            <w:tcW w:type="dxa" w:w="1440"/>
          </w:tcPr>
          <w:p>
            <w:r>
              <w:t>0.7533</w:t>
            </w:r>
          </w:p>
        </w:tc>
      </w:tr>
      <w:tr>
        <w:tc>
          <w:tcPr>
            <w:tcW w:type="dxa" w:w="1440"/>
          </w:tcPr>
          <w:p>
            <w:r>
              <w:t>Decision Tree</w:t>
            </w:r>
          </w:p>
        </w:tc>
        <w:tc>
          <w:tcPr>
            <w:tcW w:type="dxa" w:w="1440"/>
          </w:tcPr>
          <w:p>
            <w:r>
              <w:t>0.6803</w:t>
            </w:r>
          </w:p>
        </w:tc>
        <w:tc>
          <w:tcPr>
            <w:tcW w:type="dxa" w:w="1440"/>
          </w:tcPr>
          <w:p>
            <w:r>
              <w:t>0.2235</w:t>
            </w:r>
          </w:p>
        </w:tc>
        <w:tc>
          <w:tcPr>
            <w:tcW w:type="dxa" w:w="1440"/>
          </w:tcPr>
          <w:p>
            <w:r>
              <w:t>0.4043</w:t>
            </w:r>
          </w:p>
        </w:tc>
        <w:tc>
          <w:tcPr>
            <w:tcW w:type="dxa" w:w="1440"/>
          </w:tcPr>
          <w:p>
            <w:r>
              <w:t>0.2879</w:t>
            </w:r>
          </w:p>
        </w:tc>
        <w:tc>
          <w:tcPr>
            <w:tcW w:type="dxa" w:w="1440"/>
          </w:tcPr>
          <w:p>
            <w:r>
              <w:t>0.5654</w:t>
            </w:r>
          </w:p>
        </w:tc>
      </w:tr>
    </w:tbl>
    <w:p>
      <w:pPr>
        <w:pStyle w:val="Heading2"/>
      </w:pPr>
      <w:r>
        <w:t>Logistic Regression</w:t>
      </w:r>
    </w:p>
    <w:p>
      <w:r>
        <w:t>Accuracy=0.738; Precision=0.350; Recall=0.745; F1=0.476; ROC-AUC=0.810.</w:t>
      </w:r>
    </w:p>
    <w:p>
      <w:r>
        <w:t>Confusion matrix: TN=182, FP=65, FN=12, TP=35.</w:t>
      </w:r>
    </w:p>
    <w:p>
      <w:pPr>
        <w:pStyle w:val="Heading2"/>
      </w:pPr>
      <w:r>
        <w:t>Random Forest</w:t>
      </w:r>
    </w:p>
    <w:p>
      <w:r>
        <w:t>Accuracy=0.827; Precision=0.417; Recall=0.213; F1=0.282; ROC-AUC=0.768.</w:t>
      </w:r>
    </w:p>
    <w:p>
      <w:r>
        <w:t>Confusion matrix: TN=233, FP=14, FN=37, TP=10.</w:t>
      </w:r>
    </w:p>
    <w:p>
      <w:pPr>
        <w:pStyle w:val="Heading2"/>
      </w:pPr>
      <w:r>
        <w:t>XGBoost</w:t>
      </w:r>
    </w:p>
    <w:p>
      <w:r>
        <w:t>Accuracy=0.803; Precision=0.388; Recall=0.404; F1=0.396; ROC-AUC=0.753.</w:t>
      </w:r>
    </w:p>
    <w:p>
      <w:r>
        <w:t>Confusion matrix: TN=217, FP=30, FN=28, TP=19.</w:t>
      </w:r>
    </w:p>
    <w:p>
      <w:pPr>
        <w:pStyle w:val="Heading2"/>
      </w:pPr>
      <w:r>
        <w:t>Decision Tree</w:t>
      </w:r>
    </w:p>
    <w:p>
      <w:r>
        <w:t>Accuracy=0.680; Precision=0.224; Recall=0.404; F1=0.288; ROC-AUC=0.565.</w:t>
      </w:r>
    </w:p>
    <w:p>
      <w:r>
        <w:t>Confusion matrix: TN=181, FP=66, FN=28, TP=19.</w:t>
      </w:r>
    </w:p>
    <w:p>
      <w:pPr>
        <w:pStyle w:val="Heading1"/>
      </w:pPr>
      <w:r>
        <w:t>Interpretation</w:t>
      </w:r>
    </w:p>
    <w:p>
      <w:r>
        <w:t>Because the attrition class is the minority class, accuracy alone is not sufficient. Recall shows how many actual attrition cases were detected, while precision indicates how many flagged employees actually belonged to the attrition class. ROC-AUC provides threshold-independent discrimination performance.</w:t>
      </w:r>
    </w:p>
    <w:p>
      <w:r>
        <w:drawing>
          <wp:inline xmlns:a="http://schemas.openxmlformats.org/drawingml/2006/main" xmlns:pic="http://schemas.openxmlformats.org/drawingml/2006/picture">
            <wp:extent cx="5852160" cy="3192087"/>
            <wp:docPr id="1" name="Picture 1"/>
            <wp:cNvGraphicFramePr>
              <a:graphicFrameLocks noChangeAspect="1"/>
            </wp:cNvGraphicFramePr>
            <a:graphic>
              <a:graphicData uri="http://schemas.openxmlformats.org/drawingml/2006/picture">
                <pic:pic>
                  <pic:nvPicPr>
                    <pic:cNvPr id="0" name="08_model_comparison.png"/>
                    <pic:cNvPicPr/>
                  </pic:nvPicPr>
                  <pic:blipFill>
                    <a:blip r:embed="rId9"/>
                    <a:stretch>
                      <a:fillRect/>
                    </a:stretch>
                  </pic:blipFill>
                  <pic:spPr>
                    <a:xfrm>
                      <a:off x="0" y="0"/>
                      <a:ext cx="5852160" cy="3192087"/>
                    </a:xfrm>
                    <a:prstGeom prst="rect"/>
                  </pic:spPr>
                </pic:pic>
              </a:graphicData>
            </a:graphic>
          </wp:inline>
        </w:drawing>
      </w:r>
    </w:p>
    <w:p>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06_roc_curves.png"/>
                    <pic:cNvPicPr/>
                  </pic:nvPicPr>
                  <pic:blipFill>
                    <a:blip r:embed="rId10"/>
                    <a:stretch>
                      <a:fillRect/>
                    </a:stretch>
                  </pic:blipFill>
                  <pic:spPr>
                    <a:xfrm>
                      <a:off x="0" y="0"/>
                      <a:ext cx="5852160" cy="43891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