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
      </w:pPr>
      <w:r>
        <w:rPr>
          <w:rFonts w:ascii="Georgia" w:cs="Georgia" w:eastAsia="Georgia" w:hAnsi="Georgia"/>
          <w:b/>
          <w:bCs/>
          <w:color w:val="0F2540"/>
          <w:sz w:val="36"/>
          <w:szCs w:val="36"/>
        </w:rPr>
        <w:t xml:space="preserve">The platform UAE brokers grow into.</w:t>
      </w:r>
    </w:p>
    <w:p>
      <w:pPr>
        <w:spacing w:after="200" w:before="0"/>
      </w:pPr>
      <w:r>
        <w:rPr>
          <w:rFonts w:ascii="Calibri" w:cs="Calibri" w:eastAsia="Calibri" w:hAnsi="Calibri"/>
          <w:i/>
          <w:iCs/>
          <w:color w:val="64748B"/>
          <w:sz w:val="22"/>
          <w:szCs w:val="22"/>
        </w:rPr>
        <w:t xml:space="preserve">AI working deep in the workflow. A project catalogue brokers OWN. Built to scale beyond broker.</w:t>
      </w:r>
    </w:p>
    <w:p>
      <w:pPr>
        <w:spacing w:after="80" w:before="280"/>
      </w:pPr>
      <w:r>
        <w:rPr>
          <w:rFonts w:ascii="Arial" w:cs="Arial" w:eastAsia="Arial" w:hAnsi="Arial"/>
          <w:b/>
          <w:bCs/>
          <w:color w:val="C9A84C"/>
          <w:spacing w:val="80"/>
          <w:sz w:val="18"/>
          <w:szCs w:val="18"/>
        </w:rPr>
        <w:t xml:space="preserve">THREE THINGS TO REMEMBER</w:t>
      </w:r>
    </w:p>
    <w:p>
      <w:pPr>
        <w:spacing w:after="80" w:line="260"/>
        <w:ind w:left="280"/>
      </w:pPr>
      <w:r>
        <w:rPr>
          <w:rFonts w:ascii="Calibri" w:cs="Calibri" w:eastAsia="Calibri" w:hAnsi="Calibri"/>
          <w:b/>
          <w:bCs/>
          <w:color w:val="C9A84C"/>
          <w:sz w:val="22"/>
          <w:szCs w:val="22"/>
        </w:rPr>
        <w:t xml:space="preserve">▸  </w:t>
      </w:r>
      <w:r>
        <w:rPr>
          <w:rFonts w:ascii="Calibri" w:cs="Calibri" w:eastAsia="Calibri" w:hAnsi="Calibri"/>
          <w:b/>
          <w:bCs/>
          <w:color w:val="0F2540"/>
          <w:sz w:val="20"/>
          <w:szCs w:val="20"/>
        </w:rPr>
        <w:t xml:space="preserve">AI works alongside you, not above you.  </w:t>
      </w:r>
      <w:r>
        <w:rPr>
          <w:rFonts w:ascii="Calibri" w:cs="Calibri" w:eastAsia="Calibri" w:hAnsi="Calibri"/>
          <w:color w:val="1E293B"/>
          <w:sz w:val="20"/>
          <w:szCs w:val="20"/>
        </w:rPr>
        <w:t xml:space="preserve">Briefing reads your full pipeline daily. Coach advises on stuck deals. Match ranks units against buyer profiles. Compose drafts UAE-tone proposals with Arabic. Five minutes, not 25.</w:t>
      </w:r>
    </w:p>
    <w:p>
      <w:pPr>
        <w:spacing w:after="80" w:line="260"/>
        <w:ind w:left="280"/>
      </w:pPr>
      <w:r>
        <w:rPr>
          <w:rFonts w:ascii="Calibri" w:cs="Calibri" w:eastAsia="Calibri" w:hAnsi="Calibri"/>
          <w:b/>
          <w:bCs/>
          <w:color w:val="C9A84C"/>
          <w:sz w:val="22"/>
          <w:szCs w:val="22"/>
        </w:rPr>
        <w:t xml:space="preserve">▸  </w:t>
      </w:r>
      <w:r>
        <w:rPr>
          <w:rFonts w:ascii="Calibri" w:cs="Calibri" w:eastAsia="Calibri" w:hAnsi="Calibri"/>
          <w:b/>
          <w:bCs/>
          <w:color w:val="0F2540"/>
          <w:sz w:val="20"/>
          <w:szCs w:val="20"/>
        </w:rPr>
        <w:t xml:space="preserve">PropPulse — projects you OWN.  </w:t>
      </w:r>
      <w:r>
        <w:rPr>
          <w:rFonts w:ascii="Calibri" w:cs="Calibri" w:eastAsia="Calibri" w:hAnsi="Calibri"/>
          <w:color w:val="1E293B"/>
          <w:sz w:val="20"/>
          <w:szCs w:val="20"/>
        </w:rPr>
        <w:t xml:space="preserve">Browse our project database, click Import, and the project + units clone into YOUR inventory. Edit anything. Customise everything. Your data, forever — even if you leave the platform.</w:t>
      </w:r>
    </w:p>
    <w:p>
      <w:pPr>
        <w:spacing w:after="80" w:line="260"/>
        <w:ind w:left="280"/>
      </w:pPr>
      <w:r>
        <w:rPr>
          <w:rFonts w:ascii="Calibri" w:cs="Calibri" w:eastAsia="Calibri" w:hAnsi="Calibri"/>
          <w:b/>
          <w:bCs/>
          <w:color w:val="C9A84C"/>
          <w:sz w:val="22"/>
          <w:szCs w:val="22"/>
        </w:rPr>
        <w:t xml:space="preserve">▸  </w:t>
      </w:r>
      <w:r>
        <w:rPr>
          <w:rFonts w:ascii="Calibri" w:cs="Calibri" w:eastAsia="Calibri" w:hAnsi="Calibri"/>
          <w:b/>
          <w:bCs/>
          <w:color w:val="0F2540"/>
          <w:sz w:val="20"/>
          <w:szCs w:val="20"/>
        </w:rPr>
        <w:t xml:space="preserve">Configurable for YOUR firm.  </w:t>
      </w:r>
      <w:r>
        <w:rPr>
          <w:rFonts w:ascii="Calibri" w:cs="Calibri" w:eastAsia="Calibri" w:hAnsi="Calibri"/>
          <w:color w:val="1E293B"/>
          <w:sz w:val="20"/>
          <w:szCs w:val="20"/>
        </w:rPr>
        <w:t xml:space="preserve">Stages, fields, validation — adapt to how you work. As your firm grows into developer relationships, FM, contractor work — the platform extends. No re-platforming.</w:t>
      </w:r>
    </w:p>
    <w:p>
      <w:pPr>
        <w:spacing w:after="80" w:before="280"/>
      </w:pPr>
      <w:r>
        <w:rPr>
          <w:rFonts w:ascii="Arial" w:cs="Arial" w:eastAsia="Arial" w:hAnsi="Arial"/>
          <w:b/>
          <w:bCs/>
          <w:color w:val="C9A84C"/>
          <w:spacing w:val="80"/>
          <w:sz w:val="18"/>
          <w:szCs w:val="18"/>
        </w:rPr>
        <w:t xml:space="preserve">HOW WE'RE DIFFERENT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blHeader/>
        </w:trPr>
        <w:tc>
          <w:tcPr>
            <w:tcW w:type="dxa" w:w="3600"/>
            <w:tcBorders>
              <w:top w:val="single" w:color="CBD5E1" w:sz="4"/>
              <w:left w:val="single" w:color="CBD5E1" w:sz="4"/>
              <w:bottom w:val="single" w:color="CBD5E1" w:sz="4"/>
              <w:right w:val="single" w:color="CBD5E1" w:sz="4"/>
            </w:tcBorders>
            <w:shd w:fill="0F2540" w:val="clear"/>
            <w:tcMar>
              <w:top w:type="dxa" w:w="100"/>
              <w:left w:type="dxa" w:w="140"/>
              <w:bottom w:type="dxa" w:w="100"/>
              <w:right w:type="dxa" w:w="140"/>
            </w:tcMar>
          </w:tcPr>
          <w:p>
            <w:pPr>
              <w:spacing w:after="0"/>
            </w:pPr>
            <w:r>
              <w:rPr>
                <w:rFonts w:ascii="Calibri" w:cs="Calibri" w:eastAsia="Calibri" w:hAnsi="Calibri"/>
                <w:b/>
                <w:bCs/>
                <w:color w:val="FFFFFF"/>
                <w:sz w:val="18"/>
                <w:szCs w:val="18"/>
              </w:rPr>
              <w:t xml:space="preserve">WHAT BROKERS NEED</w:t>
            </w:r>
          </w:p>
        </w:tc>
        <w:tc>
          <w:tcPr>
            <w:tcW w:type="dxa" w:w="3600"/>
            <w:tcBorders>
              <w:top w:val="single" w:color="CBD5E1" w:sz="4"/>
              <w:left w:val="single" w:color="CBD5E1" w:sz="4"/>
              <w:bottom w:val="single" w:color="CBD5E1" w:sz="4"/>
              <w:right w:val="single" w:color="CBD5E1" w:sz="4"/>
            </w:tcBorders>
            <w:shd w:fill="0F2540" w:val="clear"/>
            <w:tcMar>
              <w:top w:type="dxa" w:w="100"/>
              <w:left w:type="dxa" w:w="140"/>
              <w:bottom w:type="dxa" w:w="100"/>
              <w:right w:type="dxa" w:w="140"/>
            </w:tcMar>
          </w:tcPr>
          <w:p>
            <w:pPr>
              <w:spacing w:after="0"/>
            </w:pPr>
            <w:r>
              <w:rPr>
                <w:rFonts w:ascii="Calibri" w:cs="Calibri" w:eastAsia="Calibri" w:hAnsi="Calibri"/>
                <w:b/>
                <w:bCs/>
                <w:color w:val="FFFFFF"/>
                <w:sz w:val="18"/>
                <w:szCs w:val="18"/>
              </w:rPr>
              <w:t xml:space="preserve">EXISTING TOOLS</w:t>
            </w:r>
          </w:p>
        </w:tc>
        <w:tc>
          <w:tcPr>
            <w:tcW w:type="dxa" w:w="3600"/>
            <w:tcBorders>
              <w:top w:val="single" w:color="CBD5E1" w:sz="4"/>
              <w:left w:val="single" w:color="CBD5E1" w:sz="4"/>
              <w:bottom w:val="single" w:color="CBD5E1" w:sz="4"/>
              <w:right w:val="single" w:color="CBD5E1" w:sz="4"/>
            </w:tcBorders>
            <w:shd w:fill="C9A84C" w:val="clear"/>
            <w:tcMar>
              <w:top w:type="dxa" w:w="100"/>
              <w:left w:type="dxa" w:w="140"/>
              <w:bottom w:type="dxa" w:w="100"/>
              <w:right w:type="dxa" w:w="140"/>
            </w:tcMar>
          </w:tcPr>
          <w:p>
            <w:pPr>
              <w:spacing w:after="0"/>
            </w:pPr>
            <w:r>
              <w:rPr>
                <w:rFonts w:ascii="Calibri" w:cs="Calibri" w:eastAsia="Calibri" w:hAnsi="Calibri"/>
                <w:b/>
                <w:bCs/>
                <w:color w:val="0F2540"/>
                <w:sz w:val="18"/>
                <w:szCs w:val="18"/>
              </w:rPr>
              <w:t xml:space="preserve">PROPPLATFORM</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bCs/>
                <w:color w:val="1E293B"/>
                <w:sz w:val="18"/>
                <w:szCs w:val="18"/>
              </w:rPr>
              <w:t xml:space="preserve">Off-plan project data</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val="false"/>
                <w:bCs w:val="false"/>
                <w:color w:val="64748B"/>
                <w:sz w:val="18"/>
                <w:szCs w:val="18"/>
              </w:rPr>
              <w:t xml:space="preserve">Query API · rent access</w:t>
            </w:r>
          </w:p>
        </w:tc>
        <w:tc>
          <w:tcPr>
            <w:tcW w:type="dxa" w:w="3600"/>
            <w:tcBorders>
              <w:top w:val="single" w:color="CBD5E1" w:sz="4"/>
              <w:left w:val="single" w:color="CBD5E1" w:sz="4"/>
              <w:bottom w:val="single" w:color="CBD5E1" w:sz="4"/>
              <w:right w:val="single" w:color="CBD5E1" w:sz="4"/>
            </w:tcBorders>
            <w:shd w:fill="FAF6EC" w:val="clear"/>
            <w:tcMar>
              <w:top w:type="dxa" w:w="100"/>
              <w:left w:type="dxa" w:w="140"/>
              <w:bottom w:type="dxa" w:w="100"/>
              <w:right w:type="dxa" w:w="140"/>
            </w:tcMar>
          </w:tcPr>
          <w:p>
            <w:pPr>
              <w:spacing w:after="0"/>
            </w:pPr>
            <w:r>
              <w:rPr>
                <w:rFonts w:ascii="Calibri" w:cs="Calibri" w:eastAsia="Calibri" w:hAnsi="Calibri"/>
                <w:b/>
                <w:bCs/>
                <w:color w:val="0F2540"/>
                <w:sz w:val="18"/>
                <w:szCs w:val="18"/>
              </w:rPr>
              <w:t xml:space="preserve">Import &amp; own · customisable</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bCs/>
                <w:color w:val="1E293B"/>
                <w:sz w:val="18"/>
                <w:szCs w:val="18"/>
              </w:rPr>
              <w:t xml:space="preserve">AI that helps daily</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val="false"/>
                <w:bCs w:val="false"/>
                <w:color w:val="64748B"/>
                <w:sz w:val="18"/>
                <w:szCs w:val="18"/>
              </w:rPr>
              <w:t xml:space="preserve">Search · chatbot · dedup</w:t>
            </w:r>
          </w:p>
        </w:tc>
        <w:tc>
          <w:tcPr>
            <w:tcW w:type="dxa" w:w="3600"/>
            <w:tcBorders>
              <w:top w:val="single" w:color="CBD5E1" w:sz="4"/>
              <w:left w:val="single" w:color="CBD5E1" w:sz="4"/>
              <w:bottom w:val="single" w:color="CBD5E1" w:sz="4"/>
              <w:right w:val="single" w:color="CBD5E1" w:sz="4"/>
            </w:tcBorders>
            <w:shd w:fill="FAF6EC" w:val="clear"/>
            <w:tcMar>
              <w:top w:type="dxa" w:w="100"/>
              <w:left w:type="dxa" w:w="140"/>
              <w:bottom w:type="dxa" w:w="100"/>
              <w:right w:type="dxa" w:w="140"/>
            </w:tcMar>
          </w:tcPr>
          <w:p>
            <w:pPr>
              <w:spacing w:after="0"/>
            </w:pPr>
            <w:r>
              <w:rPr>
                <w:rFonts w:ascii="Calibri" w:cs="Calibri" w:eastAsia="Calibri" w:hAnsi="Calibri"/>
                <w:b/>
                <w:bCs/>
                <w:color w:val="0F2540"/>
                <w:sz w:val="18"/>
                <w:szCs w:val="18"/>
              </w:rPr>
              <w:t xml:space="preserve">Briefing · Coach · Match · Compose</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bCs/>
                <w:color w:val="1E293B"/>
                <w:sz w:val="18"/>
                <w:szCs w:val="18"/>
              </w:rPr>
              <w:t xml:space="preserve">Avoid commission disputes</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val="false"/>
                <w:bCs w:val="false"/>
                <w:color w:val="64748B"/>
                <w:sz w:val="18"/>
                <w:szCs w:val="18"/>
              </w:rPr>
              <w:t xml:space="preserve">Detect duplicate leads</w:t>
            </w:r>
          </w:p>
        </w:tc>
        <w:tc>
          <w:tcPr>
            <w:tcW w:type="dxa" w:w="3600"/>
            <w:tcBorders>
              <w:top w:val="single" w:color="CBD5E1" w:sz="4"/>
              <w:left w:val="single" w:color="CBD5E1" w:sz="4"/>
              <w:bottom w:val="single" w:color="CBD5E1" w:sz="4"/>
              <w:right w:val="single" w:color="CBD5E1" w:sz="4"/>
            </w:tcBorders>
            <w:shd w:fill="FAF6EC" w:val="clear"/>
            <w:tcMar>
              <w:top w:type="dxa" w:w="100"/>
              <w:left w:type="dxa" w:w="140"/>
              <w:bottom w:type="dxa" w:w="100"/>
              <w:right w:type="dxa" w:w="140"/>
            </w:tcMar>
          </w:tcPr>
          <w:p>
            <w:pPr>
              <w:spacing w:after="0"/>
            </w:pPr>
            <w:r>
              <w:rPr>
                <w:rFonts w:ascii="Calibri" w:cs="Calibri" w:eastAsia="Calibri" w:hAnsi="Calibri"/>
                <w:b/>
                <w:bCs/>
                <w:color w:val="0F2540"/>
                <w:sz w:val="18"/>
                <w:szCs w:val="18"/>
              </w:rPr>
              <w:t xml:space="preserve">Detect duplicates + agent conflicts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bCs/>
                <w:color w:val="1E293B"/>
                <w:sz w:val="18"/>
                <w:szCs w:val="18"/>
              </w:rPr>
              <w:t xml:space="preserve">Workflow that fits your firm</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val="false"/>
                <w:bCs w:val="false"/>
                <w:color w:val="64748B"/>
                <w:sz w:val="18"/>
                <w:szCs w:val="18"/>
              </w:rPr>
              <w:t xml:space="preserve">Fixed broker stages</w:t>
            </w:r>
          </w:p>
        </w:tc>
        <w:tc>
          <w:tcPr>
            <w:tcW w:type="dxa" w:w="3600"/>
            <w:tcBorders>
              <w:top w:val="single" w:color="CBD5E1" w:sz="4"/>
              <w:left w:val="single" w:color="CBD5E1" w:sz="4"/>
              <w:bottom w:val="single" w:color="CBD5E1" w:sz="4"/>
              <w:right w:val="single" w:color="CBD5E1" w:sz="4"/>
            </w:tcBorders>
            <w:shd w:fill="FAF6EC" w:val="clear"/>
            <w:tcMar>
              <w:top w:type="dxa" w:w="100"/>
              <w:left w:type="dxa" w:w="140"/>
              <w:bottom w:type="dxa" w:w="100"/>
              <w:right w:type="dxa" w:w="140"/>
            </w:tcMar>
          </w:tcPr>
          <w:p>
            <w:pPr>
              <w:spacing w:after="0"/>
            </w:pPr>
            <w:r>
              <w:rPr>
                <w:rFonts w:ascii="Calibri" w:cs="Calibri" w:eastAsia="Calibri" w:hAnsi="Calibri"/>
                <w:b/>
                <w:bCs/>
                <w:color w:val="0F2540"/>
                <w:sz w:val="18"/>
                <w:szCs w:val="18"/>
              </w:rPr>
              <w:t xml:space="preserve">Configurable per company</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bCs/>
                <w:color w:val="1E293B"/>
                <w:sz w:val="18"/>
                <w:szCs w:val="18"/>
              </w:rPr>
              <w:t xml:space="preserve">Future-proof for growth</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rPr>
                <w:rFonts w:ascii="Calibri" w:cs="Calibri" w:eastAsia="Calibri" w:hAnsi="Calibri"/>
                <w:b w:val="false"/>
                <w:bCs w:val="false"/>
                <w:color w:val="64748B"/>
                <w:sz w:val="18"/>
                <w:szCs w:val="18"/>
              </w:rPr>
              <w:t xml:space="preserve">Broker-only forever</w:t>
            </w:r>
          </w:p>
        </w:tc>
        <w:tc>
          <w:tcPr>
            <w:tcW w:type="dxa" w:w="3600"/>
            <w:tcBorders>
              <w:top w:val="single" w:color="CBD5E1" w:sz="4"/>
              <w:left w:val="single" w:color="CBD5E1" w:sz="4"/>
              <w:bottom w:val="single" w:color="CBD5E1" w:sz="4"/>
              <w:right w:val="single" w:color="CBD5E1" w:sz="4"/>
            </w:tcBorders>
            <w:shd w:fill="FAF6EC" w:val="clear"/>
            <w:tcMar>
              <w:top w:type="dxa" w:w="100"/>
              <w:left w:type="dxa" w:w="140"/>
              <w:bottom w:type="dxa" w:w="100"/>
              <w:right w:type="dxa" w:w="140"/>
            </w:tcMar>
          </w:tcPr>
          <w:p>
            <w:pPr>
              <w:spacing w:after="0"/>
            </w:pPr>
            <w:r>
              <w:rPr>
                <w:rFonts w:ascii="Calibri" w:cs="Calibri" w:eastAsia="Calibri" w:hAnsi="Calibri"/>
                <w:b/>
                <w:bCs/>
                <w:color w:val="0F2540"/>
                <w:sz w:val="18"/>
                <w:szCs w:val="18"/>
              </w:rPr>
              <w:t xml:space="preserve">Broker → Builder → Contractor → FM</w:t>
            </w:r>
          </w:p>
        </w:tc>
      </w:tr>
    </w:tbl>
    <w:p>
      <w:pPr>
        <w:spacing w:after="80" w:before="280"/>
      </w:pPr>
      <w:r>
        <w:rPr>
          <w:rFonts w:ascii="Arial" w:cs="Arial" w:eastAsia="Arial" w:hAnsi="Arial"/>
          <w:b/>
          <w:bCs/>
          <w:color w:val="C9A84C"/>
          <w:spacing w:val="80"/>
          <w:sz w:val="18"/>
          <w:szCs w:val="18"/>
        </w:rPr>
        <w:t xml:space="preserve">WHERE WE ARE TODAY</w:t>
      </w:r>
    </w:p>
    <w:p>
      <w:pPr>
        <w:spacing w:after="80" w:line="280"/>
      </w:pPr>
      <w:r>
        <w:rPr>
          <w:rFonts w:ascii="Calibri" w:cs="Calibri" w:eastAsia="Calibri" w:hAnsi="Calibri"/>
          <w:b w:val="false"/>
          <w:bCs w:val="false"/>
          <w:i w:val="false"/>
          <w:iCs w:val="false"/>
          <w:color w:val="1E293B"/>
          <w:sz w:val="20"/>
          <w:szCs w:val="20"/>
        </w:rPr>
        <w:t xml:space="preserve">Working product, deployed, in use. Anchor customer (Al Mansoori Properties) signed. PropPulse catalogue operational with AI agent (Claude Sonnet 4.5) discovering UAE projects. Five AI features live in production. Configurable workflow architecture ready for builder + contractor expansion in Year 2.</w:t>
      </w:r>
    </w:p>
    <w:p>
      <w:pPr>
        <w:spacing w:after="80" w:before="280"/>
      </w:pPr>
      <w:r>
        <w:rPr>
          <w:rFonts w:ascii="Arial" w:cs="Arial" w:eastAsia="Arial" w:hAnsi="Arial"/>
          <w:b/>
          <w:bCs/>
          <w:color w:val="C9A84C"/>
          <w:spacing w:val="80"/>
          <w:sz w:val="18"/>
          <w:szCs w:val="18"/>
        </w:rPr>
        <w:t xml:space="preserve">WANT TO SEE IT FOR YOURSELF?</w:t>
      </w:r>
    </w:p>
    <w:p>
      <w:pPr>
        <w:spacing w:after="100" w:before="100" w:line="280"/>
      </w:pPr>
      <w:r>
        <w:rPr>
          <w:b/>
          <w:bCs/>
          <w:color w:val="C9A84C"/>
          <w:sz w:val="20"/>
          <w:szCs w:val="20"/>
        </w:rPr>
        <w:t xml:space="preserve">1.  </w:t>
      </w:r>
      <w:r>
        <w:rPr>
          <w:b/>
          <w:bCs/>
          <w:color w:val="0F2540"/>
          <w:sz w:val="20"/>
          <w:szCs w:val="20"/>
        </w:rPr>
        <w:t xml:space="preserve">Live demo  </w:t>
      </w:r>
      <w:r>
        <w:rPr>
          <w:color w:val="1E293B"/>
          <w:sz w:val="20"/>
          <w:szCs w:val="20"/>
        </w:rPr>
        <w:t xml:space="preserve">— 30 minutes, walking through your real pipeline. No slides.</w:t>
      </w:r>
    </w:p>
    <w:p>
      <w:pPr>
        <w:spacing w:after="100" w:line="280"/>
      </w:pPr>
      <w:r>
        <w:rPr>
          <w:b/>
          <w:bCs/>
          <w:color w:val="C9A84C"/>
          <w:sz w:val="20"/>
          <w:szCs w:val="20"/>
        </w:rPr>
        <w:t xml:space="preserve">2.  </w:t>
      </w:r>
      <w:r>
        <w:rPr>
          <w:b/>
          <w:bCs/>
          <w:color w:val="0F2540"/>
          <w:sz w:val="20"/>
          <w:szCs w:val="20"/>
        </w:rPr>
        <w:t xml:space="preserve">Pilot with your team  </w:t>
      </w:r>
      <w:r>
        <w:rPr>
          <w:color w:val="1E293B"/>
          <w:sz w:val="20"/>
          <w:szCs w:val="20"/>
        </w:rPr>
        <w:t xml:space="preserve">— 2-week trial with 3-5 of your agents. We onboard, you measure.</w:t>
      </w:r>
    </w:p>
    <w:p>
      <w:pPr>
        <w:spacing w:after="280" w:line="280"/>
      </w:pPr>
      <w:r>
        <w:rPr>
          <w:b/>
          <w:bCs/>
          <w:color w:val="C9A84C"/>
          <w:sz w:val="20"/>
          <w:szCs w:val="20"/>
        </w:rPr>
        <w:t xml:space="preserve">3.  </w:t>
      </w:r>
      <w:r>
        <w:rPr>
          <w:b/>
          <w:bCs/>
          <w:color w:val="0F2540"/>
          <w:sz w:val="20"/>
          <w:szCs w:val="20"/>
        </w:rPr>
        <w:t xml:space="preserve">Strategic partnership  </w:t>
      </w:r>
      <w:r>
        <w:rPr>
          <w:color w:val="1E293B"/>
          <w:sz w:val="20"/>
          <w:szCs w:val="20"/>
        </w:rPr>
        <w:t xml:space="preserve">— co-design the next features that matter to your firm. Anchor pricing.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9A84C" w:sz="24"/>
              <w:left w:val="single" w:color="0F2540" w:sz="4"/>
              <w:bottom w:val="single" w:color="0F2540" w:sz="4"/>
              <w:right w:val="single" w:color="0F2540" w:sz="4"/>
            </w:tcBorders>
            <w:shd w:fill="0F2540" w:val="clear"/>
            <w:tcMar>
              <w:top w:type="dxa" w:w="200"/>
              <w:left w:type="dxa" w:w="280"/>
              <w:bottom w:type="dxa" w:w="200"/>
              <w:right w:type="dxa" w:w="280"/>
            </w:tcMar>
          </w:tcPr>
          <w:p>
            <w:pPr>
              <w:spacing w:after="60"/>
            </w:pPr>
            <w:r>
              <w:rPr>
                <w:rFonts w:ascii="Georgia" w:cs="Georgia" w:eastAsia="Georgia" w:hAnsi="Georgia"/>
                <w:color w:val="FFFFFF"/>
                <w:sz w:val="22"/>
                <w:szCs w:val="22"/>
              </w:rPr>
              <w:t xml:space="preserve">Existing tools are the broker app you use today.</w:t>
            </w:r>
          </w:p>
          <w:p>
            <w:r>
              <w:rPr>
                <w:rFonts w:ascii="Georgia" w:cs="Georgia" w:eastAsia="Georgia" w:hAnsi="Georgia"/>
                <w:b/>
                <w:bCs/>
                <w:color w:val="C9A84C"/>
                <w:sz w:val="22"/>
                <w:szCs w:val="22"/>
              </w:rPr>
              <w:t xml:space="preserve">PropPlatform is the platform you grow into.</w:t>
            </w:r>
          </w:p>
        </w:tc>
      </w:tr>
    </w:tbl>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left"/>
    </w:pPr>
    <w:r>
      <w:rPr>
        <w:i/>
        <w:iCs/>
        <w:color w:val="64748B"/>
        <w:sz w:val="16"/>
        <w:szCs w:val="16"/>
      </w:rPr>
      <w:t xml:space="preserve">Abid Mirza  ·  Founder, BFC  ·  </w:t>
    </w:r>
    <w:r>
      <w:rPr>
        <w:i/>
        <w:iCs/>
        <w:color w:val="64748B"/>
        <w:sz w:val="16"/>
        <w:szCs w:val="16"/>
      </w:rPr>
      <w:t xml:space="preserve">abid@</w:t>
    </w:r>
    <w:r>
      <w:rPr>
        <w:b/>
        <w:bCs/>
        <w:i/>
        <w:iCs/>
        <w:color w:val="C9A84C"/>
        <w:sz w:val="16"/>
        <w:szCs w:val="16"/>
      </w:rPr>
      <w:t xml:space="preserve">[your-email]</w:t>
    </w:r>
    <w:r>
      <w:rPr>
        <w:i/>
        <w:iCs/>
        <w:color w:val="64748B"/>
        <w:sz w:val="16"/>
        <w:szCs w:val="16"/>
      </w:rPr>
      <w:t xml:space="preserve">  ·  +971 _________  ·  </w:t>
    </w:r>
    <w:r>
      <w:rPr>
        <w:b/>
        <w:bCs/>
        <w:i/>
        <w:iCs/>
        <w:color w:val="0F766E"/>
        <w:sz w:val="16"/>
        <w:szCs w:val="16"/>
      </w:rPr>
      <w:t xml:space="preserve">prop-crm-two.vercel.app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Georgia" w:cs="Georgia" w:eastAsia="Georgia" w:hAnsi="Georgia"/>
        <w:b/>
        <w:bCs/>
        <w:color w:val="0F2540"/>
        <w:sz w:val="22"/>
        <w:szCs w:val="22"/>
      </w:rPr>
      <w:t xml:space="preserve">PropPlatform</w:t>
    </w:r>
    <w:r>
      <w:rPr>
        <w:color w:val="C9A84C"/>
        <w:sz w:val="20"/>
        <w:szCs w:val="20"/>
      </w:rPr>
      <w:t xml:space="preserve">  ·  </w:t>
    </w:r>
    <w:r>
      <w:rPr>
        <w:rFonts w:ascii="Calibri" w:cs="Calibri" w:eastAsia="Calibri" w:hAnsi="Calibri"/>
        <w:i/>
        <w:iCs/>
        <w:color w:val="64748B"/>
        <w:sz w:val="18"/>
        <w:szCs w:val="18"/>
      </w:rPr>
      <w:t xml:space="preserve">by BFC</w:t>
    </w:r>
    <w:r>
      <w:rPr>
        <w:sz w:val="18"/>
        <w:szCs w:val="18"/>
      </w:rPr>
      <w:t xml:space="preserve">                                                                                              </w:t>
    </w:r>
    <w:r>
      <w:rPr>
        <w:rFonts w:ascii="Calibri" w:cs="Calibri" w:eastAsia="Calibri" w:hAnsi="Calibri"/>
        <w:color w:val="64748B"/>
        <w:sz w:val="16"/>
        <w:szCs w:val="16"/>
      </w:rPr>
      <w:t xml:space="preserve">For: 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2026-05-04T11:43:10.801Z</dcterms:created>
  <dcterms:modified xsi:type="dcterms:W3CDTF">2026-05-04T11:43:10.817Z</dcterms:modified>
</cp:coreProperties>
</file>

<file path=docProps/custom.xml><?xml version="1.0" encoding="utf-8"?>
<Properties xmlns="http://schemas.openxmlformats.org/officeDocument/2006/custom-properties" xmlns:vt="http://schemas.openxmlformats.org/officeDocument/2006/docPropsVTypes"/>
</file>