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rFonts w:ascii="Georgia" w:cs="Georgia" w:eastAsia="Georgia" w:hAnsi="Georgia"/>
          <w:b/>
          <w:bCs/>
          <w:color w:val="0F2540"/>
          <w:spacing w:val="-20"/>
          <w:sz w:val="56"/>
          <w:szCs w:val="56"/>
        </w:rPr>
        <w:t xml:space="preserve">PROPPLATFORM</w:t>
      </w:r>
    </w:p>
    <w:p>
      <w:pPr>
        <w:spacing w:after="120"/>
      </w:pPr>
      <w:r>
        <w:rPr>
          <w:rFonts w:ascii="Georgia" w:cs="Georgia" w:eastAsia="Georgia" w:hAnsi="Georgia"/>
          <w:i/>
          <w:iCs/>
          <w:color w:val="C9A84C"/>
          <w:sz w:val="26"/>
          <w:szCs w:val="26"/>
        </w:rPr>
        <w:t xml:space="preserve">The operating system for the UAE property industry.</w:t>
      </w:r>
    </w:p>
    <w:p>
      <w:pPr>
        <w:pBdr>
          <w:bottom w:val="single" w:color="C9A84C" w:sz="6" w:space="4"/>
        </w:pBdr>
        <w:spacing w:after="120" w:before="120"/>
      </w:pPr>
    </w:p>
    <w:p>
      <w:pPr>
        <w:spacing w:after="240" w:line="320"/>
        <w:jc w:val="left"/>
      </w:pPr>
      <w:r>
        <w:rPr>
          <w:rFonts w:ascii="Calibri" w:cs="Calibri" w:eastAsia="Calibri" w:hAnsi="Calibri"/>
          <w:b w:val="false"/>
          <w:bCs w:val="false"/>
          <w:i w:val="false"/>
          <w:iCs w:val="false"/>
          <w:color w:val="1E293B"/>
          <w:sz w:val="24"/>
          <w:szCs w:val="24"/>
        </w:rPr>
        <w:t xml:space="preserve">PropPlatform is a </w:t>
      </w:r>
      <w:r>
        <w:rPr>
          <w:rFonts w:ascii="Calibri" w:cs="Calibri" w:eastAsia="Calibri" w:hAnsi="Calibri"/>
          <w:b/>
          <w:bCs/>
          <w:i w:val="false"/>
          <w:iCs w:val="false"/>
          <w:color w:val="0F2540"/>
          <w:sz w:val="24"/>
          <w:szCs w:val="24"/>
        </w:rPr>
        <w:t xml:space="preserve">configurable, AI-deep property platform </w:t>
      </w:r>
      <w:r>
        <w:rPr>
          <w:rFonts w:ascii="Calibri" w:cs="Calibri" w:eastAsia="Calibri" w:hAnsi="Calibri"/>
          <w:b w:val="false"/>
          <w:bCs w:val="false"/>
          <w:i w:val="false"/>
          <w:iCs w:val="false"/>
          <w:color w:val="1E293B"/>
          <w:sz w:val="24"/>
          <w:szCs w:val="24"/>
        </w:rPr>
        <w:t xml:space="preserve">with a unique multi-tenant catalogue (PropPulse). We're shipping </w:t>
      </w:r>
      <w:r>
        <w:rPr>
          <w:rFonts w:ascii="Calibri" w:cs="Calibri" w:eastAsia="Calibri" w:hAnsi="Calibri"/>
          <w:b/>
          <w:bCs/>
          <w:i w:val="false"/>
          <w:iCs w:val="false"/>
          <w:color w:val="C9A84C"/>
          <w:sz w:val="24"/>
          <w:szCs w:val="24"/>
        </w:rPr>
        <w:t xml:space="preserve">Broker Edition </w:t>
      </w:r>
      <w:r>
        <w:rPr>
          <w:rFonts w:ascii="Calibri" w:cs="Calibri" w:eastAsia="Calibri" w:hAnsi="Calibri"/>
          <w:b w:val="false"/>
          <w:bCs w:val="false"/>
          <w:i w:val="false"/>
          <w:iCs w:val="false"/>
          <w:color w:val="1E293B"/>
          <w:sz w:val="24"/>
          <w:szCs w:val="24"/>
        </w:rPr>
        <w:t xml:space="preserve">first — purpose-built for the 5,000+ broker firms in UAE. Over the next 2-3 years, we add Builder, Contractor, Construction Planning, and Facilities Management Editions — same platform, segment-by-segment expansion.</w:t>
      </w:r>
    </w:p>
    <w:p>
      <w:pPr>
        <w:spacing w:after="60" w:before="240"/>
      </w:pPr>
      <w:r>
        <w:rPr>
          <w:rFonts w:ascii="Arial" w:cs="Arial" w:eastAsia="Arial" w:hAnsi="Arial"/>
          <w:b/>
          <w:bCs/>
          <w:color w:val="C9A84C"/>
          <w:spacing w:val="60"/>
          <w:sz w:val="18"/>
          <w:szCs w:val="18"/>
        </w:rPr>
        <w:t xml:space="preserve">THE INSIGHT</w:t>
      </w:r>
    </w:p>
    <w:p>
      <w:pPr>
        <w:pStyle w:val="Heading1"/>
        <w:spacing w:after="120" w:before="240"/>
      </w:pPr>
      <w:r>
        <w:rPr>
          <w:rFonts w:ascii="Georgia" w:cs="Georgia" w:eastAsia="Georgia" w:hAnsi="Georgia"/>
          <w:b/>
          <w:bCs/>
          <w:color w:val="0F2540"/>
          <w:sz w:val="36"/>
          <w:szCs w:val="36"/>
        </w:rPr>
        <w:t xml:space="preserve">UAE property is a $1+ trillion industry running on Excel.</w:t>
      </w:r>
    </w:p>
    <w:p>
      <w:pPr>
        <w:spacing w:after="120" w:line="320"/>
        <w:jc w:val="left"/>
      </w:pPr>
      <w:r>
        <w:rPr>
          <w:rFonts w:ascii="Calibri" w:cs="Calibri" w:eastAsia="Calibri" w:hAnsi="Calibri"/>
          <w:b w:val="false"/>
          <w:bCs w:val="false"/>
          <w:i w:val="false"/>
          <w:iCs w:val="false"/>
          <w:color w:val="1E293B"/>
          <w:sz w:val="22"/>
          <w:szCs w:val="22"/>
        </w:rPr>
        <w:t xml:space="preserve">Brokers, builders, contractors — the entire property value chain — operate on spreadsheets, WhatsApp threads, and outdated CRMs adapted from generic SaaS. Newer tools claim AI but use it superficially — chatbots, simple matchers, dedup. None build a configurable platform that grows with the firm. None bring AI deep into the workflow. None scale across the property value chain.</w:t>
      </w:r>
    </w:p>
    <w:p>
      <w:pPr>
        <w:spacing w:after="120" w:line="320"/>
        <w:jc w:val="left"/>
      </w:pPr>
      <w:r>
        <w:rPr>
          <w:rFonts w:ascii="Calibri" w:cs="Calibri" w:eastAsia="Calibri" w:hAnsi="Calibri"/>
          <w:b/>
          <w:bCs/>
          <w:i/>
          <w:iCs/>
          <w:color w:val="0F2540"/>
          <w:sz w:val="22"/>
          <w:szCs w:val="22"/>
        </w:rPr>
        <w:t xml:space="preserve">Generative AI just changed everything. The window to build the deeply AI-native, configurable, multi-segment property platform is open. Right now.</w:t>
      </w:r>
    </w:p>
    <w:p>
      <w:pPr>
        <w:spacing w:after="60" w:before="240"/>
      </w:pPr>
      <w:r>
        <w:rPr>
          <w:rFonts w:ascii="Arial" w:cs="Arial" w:eastAsia="Arial" w:hAnsi="Arial"/>
          <w:b/>
          <w:bCs/>
          <w:color w:val="C9A84C"/>
          <w:spacing w:val="60"/>
          <w:sz w:val="18"/>
          <w:szCs w:val="18"/>
        </w:rPr>
        <w:t xml:space="preserve">THE PRODUCT</w:t>
      </w:r>
    </w:p>
    <w:p>
      <w:pPr>
        <w:pStyle w:val="Heading1"/>
        <w:spacing w:after="120" w:before="240"/>
      </w:pPr>
      <w:r>
        <w:rPr>
          <w:rFonts w:ascii="Georgia" w:cs="Georgia" w:eastAsia="Georgia" w:hAnsi="Georgia"/>
          <w:b/>
          <w:bCs/>
          <w:color w:val="0F2540"/>
          <w:sz w:val="36"/>
          <w:szCs w:val="36"/>
        </w:rPr>
        <w:t xml:space="preserve">Broker Edition — the awaited solution to broker market pain.</w:t>
      </w:r>
    </w:p>
    <w:p>
      <w:pPr>
        <w:spacing w:after="120" w:line="320"/>
        <w:jc w:val="left"/>
      </w:pPr>
      <w:r>
        <w:rPr>
          <w:rFonts w:ascii="Calibri" w:cs="Calibri" w:eastAsia="Calibri" w:hAnsi="Calibri"/>
          <w:b w:val="false"/>
          <w:bCs w:val="false"/>
          <w:i w:val="false"/>
          <w:iCs w:val="false"/>
          <w:color w:val="1E293B"/>
          <w:sz w:val="22"/>
          <w:szCs w:val="22"/>
        </w:rPr>
        <w:t xml:space="preserve">Today, UAE brokers face four expensive, daily problems:</w:t>
      </w:r>
    </w:p>
    <w:p>
      <w:pPr>
        <w:pStyle w:val="ListParagraph"/>
        <w:numPr>
          <w:ilvl w:val="0"/>
          <w:numId w:val="2"/>
        </w:numPr>
        <w:spacing w:after="60" w:line="300"/>
      </w:pPr>
      <w:r>
        <w:rPr>
          <w:rFonts w:ascii="Calibri" w:cs="Calibri" w:eastAsia="Calibri" w:hAnsi="Calibri"/>
          <w:color w:val="1E293B"/>
          <w:sz w:val="22"/>
          <w:szCs w:val="22"/>
        </w:rPr>
        <w:t xml:space="preserve">30%+ of leads are duplicates the agent didn't know about — losing trust and commission.</w:t>
      </w:r>
    </w:p>
    <w:p>
      <w:pPr>
        <w:pStyle w:val="ListParagraph"/>
        <w:numPr>
          <w:ilvl w:val="0"/>
          <w:numId w:val="2"/>
        </w:numPr>
        <w:spacing w:after="60" w:line="300"/>
      </w:pPr>
      <w:r>
        <w:rPr>
          <w:rFonts w:ascii="Calibri" w:cs="Calibri" w:eastAsia="Calibri" w:hAnsi="Calibri"/>
          <w:color w:val="1E293B"/>
          <w:sz w:val="22"/>
          <w:szCs w:val="22"/>
        </w:rPr>
        <w:t xml:space="preserve">Two agents working the same buyer is a daily, industry-wide problem with no software solution.</w:t>
      </w:r>
    </w:p>
    <w:p>
      <w:pPr>
        <w:pStyle w:val="ListParagraph"/>
        <w:numPr>
          <w:ilvl w:val="0"/>
          <w:numId w:val="2"/>
        </w:numPr>
        <w:spacing w:after="60" w:line="300"/>
      </w:pPr>
      <w:r>
        <w:rPr>
          <w:rFonts w:ascii="Calibri" w:cs="Calibri" w:eastAsia="Calibri" w:hAnsi="Calibri"/>
          <w:color w:val="1E293B"/>
          <w:sz w:val="22"/>
          <w:szCs w:val="22"/>
        </w:rPr>
        <w:t xml:space="preserve">Agents memorise inventory or scroll lists — AI should match buyer-to-unit in seconds.</w:t>
      </w:r>
    </w:p>
    <w:p>
      <w:pPr>
        <w:pStyle w:val="ListParagraph"/>
        <w:numPr>
          <w:ilvl w:val="0"/>
          <w:numId w:val="2"/>
        </w:numPr>
        <w:spacing w:after="60" w:line="300"/>
      </w:pPr>
      <w:r>
        <w:rPr>
          <w:rFonts w:ascii="Calibri" w:cs="Calibri" w:eastAsia="Calibri" w:hAnsi="Calibri"/>
          <w:color w:val="1E293B"/>
          <w:sz w:val="22"/>
          <w:szCs w:val="22"/>
        </w:rPr>
        <w:t xml:space="preserve">Every offer letter typed from scratch — 25 minutes each, inconsistent, error-prone.</w:t>
      </w:r>
    </w:p>
    <w:p>
      <w:pPr>
        <w:spacing w:after="60" w:line="320"/>
        <w:jc w:val="left"/>
      </w:pPr>
      <w:r>
        <w:rPr>
          <w:rFonts w:ascii="Calibri" w:cs="Calibri" w:eastAsia="Calibri" w:hAnsi="Calibri"/>
          <w:b w:val="false"/>
          <w:bCs w:val="false"/>
          <w:i w:val="false"/>
          <w:iCs w:val="false"/>
          <w:color w:val="1E293B"/>
          <w:sz w:val="22"/>
          <w:szCs w:val="22"/>
        </w:rPr>
        <w:t xml:space="preserve">PropPlatform Broker Edition addresses each:</w:t>
      </w:r>
    </w:p>
    <w:p>
      <w:pPr>
        <w:pStyle w:val="ListParagraph"/>
        <w:numPr>
          <w:ilvl w:val="0"/>
          <w:numId w:val="2"/>
        </w:numPr>
        <w:spacing w:after="60" w:line="300"/>
      </w:pPr>
      <w:r>
        <w:rPr>
          <w:rFonts w:ascii="Calibri" w:cs="Calibri" w:eastAsia="Calibri" w:hAnsi="Calibri"/>
          <w:color w:val="1E293B"/>
          <w:sz w:val="22"/>
          <w:szCs w:val="22"/>
        </w:rPr>
        <w:t xml:space="preserve">AI Briefing — reads your full pipeline daily, surfaces priority deals.</w:t>
      </w:r>
    </w:p>
    <w:p>
      <w:pPr>
        <w:pStyle w:val="ListParagraph"/>
        <w:numPr>
          <w:ilvl w:val="0"/>
          <w:numId w:val="2"/>
        </w:numPr>
        <w:spacing w:after="60" w:line="300"/>
      </w:pPr>
      <w:r>
        <w:rPr>
          <w:rFonts w:ascii="Calibri" w:cs="Calibri" w:eastAsia="Calibri" w:hAnsi="Calibri"/>
          <w:color w:val="1E293B"/>
          <w:sz w:val="22"/>
          <w:szCs w:val="22"/>
        </w:rPr>
        <w:t xml:space="preserve">AI Coach — per-deal advisor with reasoning.</w:t>
      </w:r>
    </w:p>
    <w:p>
      <w:pPr>
        <w:pStyle w:val="ListParagraph"/>
        <w:numPr>
          <w:ilvl w:val="0"/>
          <w:numId w:val="2"/>
        </w:numPr>
        <w:spacing w:after="60" w:line="300"/>
      </w:pPr>
      <w:r>
        <w:rPr>
          <w:rFonts w:ascii="Calibri" w:cs="Calibri" w:eastAsia="Calibri" w:hAnsi="Calibri"/>
          <w:color w:val="1E293B"/>
          <w:sz w:val="22"/>
          <w:szCs w:val="22"/>
        </w:rPr>
        <w:t xml:space="preserve">AI Match — describe a buyer, get ranked unit matches in seconds.</w:t>
      </w:r>
    </w:p>
    <w:p>
      <w:pPr>
        <w:pStyle w:val="ListParagraph"/>
        <w:numPr>
          <w:ilvl w:val="0"/>
          <w:numId w:val="2"/>
        </w:numPr>
        <w:spacing w:after="60" w:line="300"/>
      </w:pPr>
      <w:r>
        <w:rPr>
          <w:rFonts w:ascii="Calibri" w:cs="Calibri" w:eastAsia="Calibri" w:hAnsi="Calibri"/>
          <w:color w:val="1E293B"/>
          <w:sz w:val="22"/>
          <w:szCs w:val="22"/>
        </w:rPr>
        <w:t xml:space="preserve">AI Compose — drafts UAE-tone proposals with Arabic greetings, intelligent payment terms.</w:t>
      </w:r>
    </w:p>
    <w:p>
      <w:pPr>
        <w:pStyle w:val="ListParagraph"/>
        <w:numPr>
          <w:ilvl w:val="0"/>
          <w:numId w:val="2"/>
        </w:numPr>
        <w:spacing w:after="60" w:line="300"/>
      </w:pPr>
      <w:r>
        <w:rPr>
          <w:rFonts w:ascii="Calibri" w:cs="Calibri" w:eastAsia="Calibri" w:hAnsi="Calibri"/>
          <w:color w:val="1E293B"/>
          <w:sz w:val="22"/>
          <w:szCs w:val="22"/>
        </w:rPr>
        <w:t xml:space="preserve">PropPulse — multi-tenant project catalogue brokers import to their inventory.</w:t>
      </w:r>
    </w:p>
    <w:p>
      <w:pPr>
        <w:pStyle w:val="ListParagraph"/>
        <w:numPr>
          <w:ilvl w:val="0"/>
          <w:numId w:val="2"/>
        </w:numPr>
        <w:spacing w:after="60" w:line="300"/>
      </w:pPr>
      <w:r>
        <w:rPr>
          <w:rFonts w:ascii="Calibri" w:cs="Calibri" w:eastAsia="Calibri" w:hAnsi="Calibri"/>
          <w:color w:val="1E293B"/>
          <w:sz w:val="22"/>
          <w:szCs w:val="22"/>
        </w:rPr>
        <w:t xml:space="preserve">Conflict Detection — catches duplicate leads + agent conflicts before commission disputes.</w:t>
      </w:r>
    </w:p>
    <w:p>
      <w:pPr>
        <w:pStyle w:val="ListParagraph"/>
        <w:numPr>
          <w:ilvl w:val="0"/>
          <w:numId w:val="2"/>
        </w:numPr>
        <w:spacing w:after="60" w:line="300"/>
      </w:pPr>
      <w:r>
        <w:rPr>
          <w:rFonts w:ascii="Calibri" w:cs="Calibri" w:eastAsia="Calibri" w:hAnsi="Calibri"/>
          <w:color w:val="1E293B"/>
          <w:sz w:val="22"/>
          <w:szCs w:val="22"/>
        </w:rPr>
        <w:t xml:space="preserve">Configurable workflow — adapts to your firm's process, not the other way around.</w:t>
      </w:r>
    </w:p>
    <w:p>
      <w:pPr>
        <w:spacing w:after="60" w:before="240"/>
      </w:pPr>
      <w:r>
        <w:rPr>
          <w:rFonts w:ascii="Arial" w:cs="Arial" w:eastAsia="Arial" w:hAnsi="Arial"/>
          <w:b/>
          <w:bCs/>
          <w:color w:val="C9A84C"/>
          <w:spacing w:val="60"/>
          <w:sz w:val="18"/>
          <w:szCs w:val="18"/>
        </w:rPr>
        <w:t xml:space="preserve">THE STRUCTURAL MOAT</w:t>
      </w:r>
    </w:p>
    <w:p>
      <w:pPr>
        <w:pStyle w:val="Heading1"/>
        <w:spacing w:after="120" w:before="240"/>
      </w:pPr>
      <w:r>
        <w:rPr>
          <w:rFonts w:ascii="Georgia" w:cs="Georgia" w:eastAsia="Georgia" w:hAnsi="Georgia"/>
          <w:b/>
          <w:bCs/>
          <w:color w:val="0F2540"/>
          <w:sz w:val="36"/>
          <w:szCs w:val="36"/>
        </w:rPr>
        <w:t xml:space="preserve">PropPulse — a different category from existing UAE off-plan tools.</w:t>
      </w:r>
    </w:p>
    <w:p>
      <w:pPr>
        <w:spacing w:after="120" w:line="320"/>
        <w:jc w:val="left"/>
      </w:pPr>
      <w:r>
        <w:rPr>
          <w:rFonts w:ascii="Calibri" w:cs="Calibri" w:eastAsia="Calibri" w:hAnsi="Calibri"/>
          <w:b w:val="false"/>
          <w:bCs w:val="false"/>
          <w:i w:val="false"/>
          <w:iCs w:val="false"/>
          <w:color w:val="1E293B"/>
          <w:sz w:val="22"/>
          <w:szCs w:val="22"/>
        </w:rPr>
        <w:t xml:space="preserve">Existing UAE broker tools (REM, Goyzer, Ruby, Reelly) operate as data-as-a-service: brokers query an external API and rent access. When the API is down, broker workflows break. Brokers cannot customise the data they see, and their subscription is tied to continued API access.</w:t>
      </w:r>
    </w:p>
    <w:p>
      <w:pPr>
        <w:spacing w:after="120" w:line="320"/>
        <w:jc w:val="left"/>
      </w:pPr>
      <w:r>
        <w:rPr>
          <w:rFonts w:ascii="Calibri" w:cs="Calibri" w:eastAsia="Calibri" w:hAnsi="Calibri"/>
          <w:b w:val="false"/>
          <w:bCs w:val="false"/>
          <w:i w:val="false"/>
          <w:iCs w:val="false"/>
          <w:color w:val="1E293B"/>
          <w:sz w:val="22"/>
          <w:szCs w:val="22"/>
        </w:rPr>
        <w:t xml:space="preserve">PropPulse is structurally different — data-as-bootstrap:</w:t>
      </w:r>
    </w:p>
    <w:p>
      <w:pPr>
        <w:pStyle w:val="ListParagraph"/>
        <w:numPr>
          <w:ilvl w:val="0"/>
          <w:numId w:val="2"/>
        </w:numPr>
        <w:spacing w:after="60" w:line="300"/>
      </w:pPr>
      <w:r>
        <w:rPr>
          <w:rFonts w:ascii="Calibri" w:cs="Calibri" w:eastAsia="Calibri" w:hAnsi="Calibri"/>
          <w:color w:val="1E293B"/>
          <w:sz w:val="22"/>
          <w:szCs w:val="22"/>
        </w:rPr>
        <w:t xml:space="preserve">Multi-tenant project catalogue with company_id-based partitioning — same tables hold catalogue and tenant inventory.</w:t>
      </w:r>
    </w:p>
    <w:p>
      <w:pPr>
        <w:pStyle w:val="ListParagraph"/>
        <w:numPr>
          <w:ilvl w:val="0"/>
          <w:numId w:val="2"/>
        </w:numPr>
        <w:spacing w:after="60" w:line="300"/>
      </w:pPr>
      <w:r>
        <w:rPr>
          <w:rFonts w:ascii="Calibri" w:cs="Calibri" w:eastAsia="Calibri" w:hAnsi="Calibri"/>
          <w:color w:val="1E293B"/>
          <w:sz w:val="22"/>
          <w:szCs w:val="22"/>
        </w:rPr>
        <w:t xml:space="preserve">AI-discovered via Claude Sonnet 4.5 with web search — NOT brittle scrapers; resilient to website redesigns.</w:t>
      </w:r>
    </w:p>
    <w:p>
      <w:pPr>
        <w:pStyle w:val="ListParagraph"/>
        <w:numPr>
          <w:ilvl w:val="0"/>
          <w:numId w:val="2"/>
        </w:numPr>
        <w:spacing w:after="60" w:line="300"/>
      </w:pPr>
      <w:r>
        <w:rPr>
          <w:rFonts w:ascii="Calibri" w:cs="Calibri" w:eastAsia="Calibri" w:hAnsi="Calibri"/>
          <w:color w:val="1E293B"/>
          <w:sz w:val="22"/>
          <w:szCs w:val="22"/>
        </w:rPr>
        <w:t xml:space="preserve">Confidence-scored, human-verified by admin before catalogue publication — quality gate.</w:t>
      </w:r>
    </w:p>
    <w:p>
      <w:pPr>
        <w:pStyle w:val="ListParagraph"/>
        <w:numPr>
          <w:ilvl w:val="0"/>
          <w:numId w:val="2"/>
        </w:numPr>
        <w:spacing w:after="60" w:line="300"/>
      </w:pPr>
      <w:r>
        <w:rPr>
          <w:rFonts w:ascii="Calibri" w:cs="Calibri" w:eastAsia="Calibri" w:hAnsi="Calibri"/>
          <w:color w:val="1E293B"/>
          <w:sz w:val="22"/>
          <w:szCs w:val="22"/>
        </w:rPr>
        <w:t xml:space="preserve">Brokers IMPORT projects to their tenant inventory with one click — atomic clone with provenance tracking.</w:t>
      </w:r>
    </w:p>
    <w:p>
      <w:pPr>
        <w:pStyle w:val="ListParagraph"/>
        <w:numPr>
          <w:ilvl w:val="0"/>
          <w:numId w:val="2"/>
        </w:numPr>
        <w:spacing w:after="60" w:line="300"/>
      </w:pPr>
      <w:r>
        <w:rPr>
          <w:rFonts w:ascii="Calibri" w:cs="Calibri" w:eastAsia="Calibri" w:hAnsi="Calibri"/>
          <w:color w:val="1E293B"/>
          <w:sz w:val="22"/>
          <w:szCs w:val="22"/>
        </w:rPr>
        <w:t xml:space="preserve">Once imported, brokers OWN the data — they edit, customise, build proprietary insights on top.</w:t>
      </w:r>
    </w:p>
    <w:p>
      <w:pPr>
        <w:pStyle w:val="ListParagraph"/>
        <w:numPr>
          <w:ilvl w:val="0"/>
          <w:numId w:val="2"/>
        </w:numPr>
        <w:spacing w:after="60" w:line="300"/>
      </w:pPr>
      <w:r>
        <w:rPr>
          <w:rFonts w:ascii="Calibri" w:cs="Calibri" w:eastAsia="Calibri" w:hAnsi="Calibri"/>
          <w:color w:val="1E293B"/>
          <w:sz w:val="22"/>
          <w:szCs w:val="22"/>
        </w:rPr>
        <w:t xml:space="preserve">AI Match runs natively against same database — no API translation tax, no third-party dependency.</w:t>
      </w:r>
    </w:p>
    <w:p>
      <w:pPr>
        <w:spacing w:after="120" w:line="320"/>
        <w:jc w:val="left"/>
      </w:pPr>
      <w:r>
        <w:rPr>
          <w:rFonts w:ascii="Calibri" w:cs="Calibri" w:eastAsia="Calibri" w:hAnsi="Calibri"/>
          <w:b w:val="false"/>
          <w:bCs w:val="false"/>
          <w:i w:val="false"/>
          <w:iCs w:val="false"/>
          <w:color w:val="1E293B"/>
          <w:sz w:val="22"/>
          <w:szCs w:val="22"/>
        </w:rPr>
        <w:t xml:space="preserve">This architecture creates two compounding advantages: customer data sovereignty (retention argument), and AI-native depth (no other UAE proptech has AI sitting natively on a multi-tenant catalogue with broker-owned customisations).</w:t>
      </w:r>
    </w:p>
    <w:p>
      <w:pPr>
        <w:spacing w:after="60" w:before="240"/>
      </w:pPr>
      <w:r>
        <w:rPr>
          <w:rFonts w:ascii="Arial" w:cs="Arial" w:eastAsia="Arial" w:hAnsi="Arial"/>
          <w:b/>
          <w:bCs/>
          <w:color w:val="C9A84C"/>
          <w:spacing w:val="60"/>
          <w:sz w:val="18"/>
          <w:szCs w:val="18"/>
        </w:rPr>
        <w:t xml:space="preserve">TRACTION</w:t>
      </w:r>
    </w:p>
    <w:p>
      <w:pPr>
        <w:pStyle w:val="Heading1"/>
        <w:spacing w:after="120" w:before="240"/>
      </w:pPr>
      <w:r>
        <w:rPr>
          <w:rFonts w:ascii="Georgia" w:cs="Georgia" w:eastAsia="Georgia" w:hAnsi="Georgia"/>
          <w:b/>
          <w:bCs/>
          <w:color w:val="0F2540"/>
          <w:sz w:val="36"/>
          <w:szCs w:val="36"/>
        </w:rPr>
        <w:t xml:space="preserve">Six weeks. A working platform with real moat.</w:t>
      </w:r>
    </w:p>
    <w:p>
      <w:pPr>
        <w:spacing w:after="120" w:line="320"/>
        <w:jc w:val="left"/>
      </w:pPr>
      <w:r>
        <w:rPr>
          <w:rFonts w:ascii="Calibri" w:cs="Calibri" w:eastAsia="Calibri" w:hAnsi="Calibri"/>
          <w:b w:val="false"/>
          <w:bCs w:val="false"/>
          <w:i w:val="false"/>
          <w:iCs w:val="false"/>
          <w:color w:val="1E293B"/>
          <w:sz w:val="22"/>
          <w:szCs w:val="22"/>
        </w:rPr>
        <w:t xml:space="preserve">Not slideware. Not vapourware. Production code, deployed, tested, used.</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9A84C" w:sz="24"/>
              <w:left w:val="single" w:color="E2E8F0" w:sz="4"/>
              <w:bottom w:val="single" w:color="E2E8F0" w:sz="4"/>
              <w:right w:val="single" w:color="E2E8F0" w:sz="4"/>
            </w:tcBorders>
            <w:shd w:fill="F8FAFC" w:val="clear"/>
            <w:tcMar>
              <w:top w:type="dxa" w:w="240"/>
              <w:left w:type="dxa" w:w="200"/>
              <w:bottom w:type="dxa" w:w="240"/>
              <w:right w:type="dxa" w:w="200"/>
            </w:tcMar>
          </w:tcPr>
          <w:p>
            <w:pPr>
              <w:spacing w:after="60"/>
              <w:jc w:val="center"/>
            </w:pPr>
            <w:r>
              <w:rPr>
                <w:rFonts w:ascii="Georgia" w:cs="Georgia" w:eastAsia="Georgia" w:hAnsi="Georgia"/>
                <w:b/>
                <w:bCs/>
                <w:color w:val="C9A84C"/>
                <w:sz w:val="48"/>
                <w:szCs w:val="48"/>
              </w:rPr>
              <w:t xml:space="preserve">14,000+</w:t>
            </w:r>
          </w:p>
          <w:p>
            <w:pPr>
              <w:jc w:val="center"/>
            </w:pPr>
            <w:r>
              <w:rPr>
                <w:rFonts w:ascii="Calibri" w:cs="Calibri" w:eastAsia="Calibri" w:hAnsi="Calibri"/>
                <w:color w:val="0F2540"/>
                <w:sz w:val="18"/>
                <w:szCs w:val="18"/>
              </w:rPr>
              <w:t xml:space="preserve">Lines of
production code</w:t>
            </w:r>
          </w:p>
        </w:tc>
        <w:tc>
          <w:tcPr>
            <w:tcW w:type="dxa" w:w="3120"/>
            <w:tcBorders>
              <w:top w:val="single" w:color="C9A84C" w:sz="24"/>
              <w:left w:val="single" w:color="E2E8F0" w:sz="4"/>
              <w:bottom w:val="single" w:color="E2E8F0" w:sz="4"/>
              <w:right w:val="single" w:color="E2E8F0" w:sz="4"/>
            </w:tcBorders>
            <w:shd w:fill="F8FAFC" w:val="clear"/>
            <w:tcMar>
              <w:top w:type="dxa" w:w="240"/>
              <w:left w:type="dxa" w:w="200"/>
              <w:bottom w:type="dxa" w:w="240"/>
              <w:right w:type="dxa" w:w="200"/>
            </w:tcMar>
          </w:tcPr>
          <w:p>
            <w:pPr>
              <w:spacing w:after="60"/>
              <w:jc w:val="center"/>
            </w:pPr>
            <w:r>
              <w:rPr>
                <w:rFonts w:ascii="Georgia" w:cs="Georgia" w:eastAsia="Georgia" w:hAnsi="Georgia"/>
                <w:b/>
                <w:bCs/>
                <w:color w:val="C9A84C"/>
                <w:sz w:val="48"/>
                <w:szCs w:val="48"/>
              </w:rPr>
              <w:t xml:space="preserve">5</w:t>
            </w:r>
          </w:p>
          <w:p>
            <w:pPr>
              <w:jc w:val="center"/>
            </w:pPr>
            <w:r>
              <w:rPr>
                <w:rFonts w:ascii="Calibri" w:cs="Calibri" w:eastAsia="Calibri" w:hAnsi="Calibri"/>
                <w:color w:val="0F2540"/>
                <w:sz w:val="18"/>
                <w:szCs w:val="18"/>
              </w:rPr>
              <w:t xml:space="preserve">AI features
in production</w:t>
            </w:r>
          </w:p>
        </w:tc>
        <w:tc>
          <w:tcPr>
            <w:tcW w:type="dxa" w:w="3120"/>
            <w:tcBorders>
              <w:top w:val="single" w:color="C9A84C" w:sz="24"/>
              <w:left w:val="single" w:color="E2E8F0" w:sz="4"/>
              <w:bottom w:val="single" w:color="E2E8F0" w:sz="4"/>
              <w:right w:val="single" w:color="E2E8F0" w:sz="4"/>
            </w:tcBorders>
            <w:shd w:fill="F8FAFC" w:val="clear"/>
            <w:tcMar>
              <w:top w:type="dxa" w:w="240"/>
              <w:left w:type="dxa" w:w="200"/>
              <w:bottom w:type="dxa" w:w="240"/>
              <w:right w:type="dxa" w:w="200"/>
            </w:tcMar>
          </w:tcPr>
          <w:p>
            <w:pPr>
              <w:spacing w:after="60"/>
              <w:jc w:val="center"/>
            </w:pPr>
            <w:r>
              <w:rPr>
                <w:rFonts w:ascii="Georgia" w:cs="Georgia" w:eastAsia="Georgia" w:hAnsi="Georgia"/>
                <w:b/>
                <w:bCs/>
                <w:color w:val="C9A84C"/>
                <w:sz w:val="48"/>
                <w:szCs w:val="48"/>
              </w:rPr>
              <w:t xml:space="preserve">1</w:t>
            </w:r>
          </w:p>
          <w:p>
            <w:pPr>
              <w:jc w:val="center"/>
            </w:pPr>
            <w:r>
              <w:rPr>
                <w:rFonts w:ascii="Calibri" w:cs="Calibri" w:eastAsia="Calibri" w:hAnsi="Calibri"/>
                <w:color w:val="0F2540"/>
                <w:sz w:val="18"/>
                <w:szCs w:val="18"/>
              </w:rPr>
              <w:t xml:space="preserve">Anchor customer
signed</w:t>
            </w:r>
          </w:p>
        </w:tc>
      </w:tr>
    </w:tbl>
    <w:p>
      <w:pPr>
        <w:spacing w:after="120" w:before="120"/>
      </w:pPr>
    </w:p>
    <w:p>
      <w:pPr>
        <w:spacing w:after="120" w:line="320"/>
        <w:jc w:val="left"/>
      </w:pPr>
      <w:r>
        <w:rPr>
          <w:rFonts w:ascii="Calibri" w:cs="Calibri" w:eastAsia="Calibri" w:hAnsi="Calibri"/>
          <w:b w:val="false"/>
          <w:bCs w:val="false"/>
          <w:i w:val="false"/>
          <w:iCs w:val="false"/>
          <w:color w:val="1E293B"/>
          <w:sz w:val="22"/>
          <w:szCs w:val="22"/>
        </w:rPr>
        <w:t xml:space="preserve">Anchor customer: Al Mansoori Properties (UAE broker firm). All five AI features live in production. PropPulse multi-tenant catalogue operational with AI agent. Configurable workflow architecture ready for builder + contractor expansion.</w:t>
      </w:r>
    </w:p>
    <w:p>
      <w:pPr>
        <w:spacing w:after="60" w:before="240"/>
      </w:pPr>
      <w:r>
        <w:rPr>
          <w:rFonts w:ascii="Arial" w:cs="Arial" w:eastAsia="Arial" w:hAnsi="Arial"/>
          <w:b/>
          <w:bCs/>
          <w:color w:val="C9A84C"/>
          <w:spacing w:val="60"/>
          <w:sz w:val="18"/>
          <w:szCs w:val="18"/>
        </w:rPr>
        <w:t xml:space="preserve">THE STRATEGIC DECISION</w:t>
      </w:r>
    </w:p>
    <w:p>
      <w:pPr>
        <w:pStyle w:val="Heading1"/>
        <w:spacing w:after="120" w:before="240"/>
      </w:pPr>
      <w:r>
        <w:rPr>
          <w:rFonts w:ascii="Georgia" w:cs="Georgia" w:eastAsia="Georgia" w:hAnsi="Georgia"/>
          <w:b/>
          <w:bCs/>
          <w:color w:val="0F2540"/>
          <w:sz w:val="36"/>
          <w:szCs w:val="36"/>
        </w:rPr>
        <w:t xml:space="preserve">One platform. Five Editions. Same code.</w:t>
      </w:r>
    </w:p>
    <w:p>
      <w:pPr>
        <w:spacing w:after="120" w:line="320"/>
        <w:jc w:val="left"/>
      </w:pPr>
      <w:r>
        <w:rPr>
          <w:rFonts w:ascii="Calibri" w:cs="Calibri" w:eastAsia="Calibri" w:hAnsi="Calibri"/>
          <w:b w:val="false"/>
          <w:bCs w:val="false"/>
          <w:i w:val="false"/>
          <w:iCs w:val="false"/>
          <w:color w:val="1E293B"/>
          <w:sz w:val="22"/>
          <w:szCs w:val="22"/>
        </w:rPr>
        <w:t xml:space="preserve">PropPlatform is one product, configurable per company. Broker firms use the Broker Edition template; developers use Builder Edition; contractors use Contractor Edition. Same codebase, same architecture, different workflow templates.</w:t>
      </w:r>
    </w:p>
    <w:p>
      <w:pPr>
        <w:pBdr>
          <w:left w:val="single" w:color="C9A84C" w:sz="24" w:space="12"/>
        </w:pBdr>
        <w:spacing w:after="200" w:before="200" w:line="320"/>
        <w:ind w:left="360" w:right="360"/>
      </w:pPr>
      <w:r>
        <w:rPr>
          <w:rFonts w:ascii="Georgia" w:cs="Georgia" w:eastAsia="Georgia" w:hAnsi="Georgia"/>
          <w:i/>
          <w:iCs/>
          <w:color w:val="0F2540"/>
          <w:sz w:val="24"/>
          <w:szCs w:val="24"/>
        </w:rPr>
        <w:t xml:space="preserve">I don't believe in big bang. I know I will lose interest as it goes beyond a limit and project shut down.</w:t>
      </w:r>
      <w:r>
        <w:rPr>
          <w:rFonts w:ascii="Calibri" w:cs="Calibri" w:eastAsia="Calibri" w:hAnsi="Calibri"/>
          <w:i/>
          <w:iCs/>
          <w:color w:val="64748B"/>
          <w:sz w:val="20"/>
          <w:szCs w:val="20"/>
        </w:rPr>
        <w:t xml:space="preserve"> — Abid Mirza, Founder</w:t>
      </w:r>
    </w:p>
    <w:p>
      <w:pPr>
        <w:spacing w:after="120" w:line="320"/>
        <w:jc w:val="left"/>
      </w:pPr>
      <w:r>
        <w:rPr>
          <w:rFonts w:ascii="Calibri" w:cs="Calibri" w:eastAsia="Calibri" w:hAnsi="Calibri"/>
          <w:b w:val="false"/>
          <w:bCs w:val="false"/>
          <w:i w:val="false"/>
          <w:iCs w:val="false"/>
          <w:color w:val="1E293B"/>
          <w:sz w:val="22"/>
          <w:szCs w:val="22"/>
        </w:rPr>
        <w:t xml:space="preserve">This discipline shapes everything. Ship broker first. Sign 10-20 broker customers. Prove the model. Then add segments at a cadence of 1-2 per year, never more. Each release is a market announcement. Each segment validated before the next is started.</w:t>
      </w:r>
    </w:p>
    <w:p>
      <w:pPr>
        <w:spacing w:after="60" w:before="240"/>
      </w:pPr>
      <w:r>
        <w:rPr>
          <w:rFonts w:ascii="Arial" w:cs="Arial" w:eastAsia="Arial" w:hAnsi="Arial"/>
          <w:b/>
          <w:bCs/>
          <w:color w:val="C9A84C"/>
          <w:spacing w:val="60"/>
          <w:sz w:val="18"/>
          <w:szCs w:val="18"/>
        </w:rPr>
        <w:t xml:space="preserve">ARCHITECTURAL COMMITMENT</w:t>
      </w:r>
    </w:p>
    <w:p>
      <w:pPr>
        <w:spacing w:after="120" w:line="320"/>
        <w:jc w:val="left"/>
      </w:pPr>
      <w:r>
        <w:rPr>
          <w:rFonts w:ascii="Calibri" w:cs="Calibri" w:eastAsia="Calibri" w:hAnsi="Calibri"/>
          <w:b/>
          <w:bCs/>
          <w:i w:val="false"/>
          <w:iCs w:val="false"/>
          <w:color w:val="0F2540"/>
          <w:sz w:val="24"/>
          <w:szCs w:val="24"/>
        </w:rPr>
        <w:t xml:space="preserve">What's built for Broker Edition becomes the foundation for every future Edition. </w:t>
      </w:r>
      <w:r>
        <w:rPr>
          <w:rFonts w:ascii="Calibri" w:cs="Calibri" w:eastAsia="Calibri" w:hAnsi="Calibri"/>
          <w:b w:val="false"/>
          <w:bCs w:val="false"/>
          <w:i/>
          <w:iCs/>
          <w:color w:val="1E293B"/>
          <w:sz w:val="24"/>
          <w:szCs w:val="24"/>
        </w:rPr>
        <w:t xml:space="preserve">No reinvention. No throwaway. Each release builds on the last. </w:t>
      </w:r>
      <w:r>
        <w:rPr>
          <w:rFonts w:ascii="Calibri" w:cs="Calibri" w:eastAsia="Calibri" w:hAnsi="Calibri"/>
          <w:b w:val="false"/>
          <w:bCs w:val="false"/>
          <w:i w:val="false"/>
          <w:iCs w:val="false"/>
          <w:color w:val="1E293B"/>
          <w:sz w:val="24"/>
          <w:szCs w:val="24"/>
        </w:rPr>
        <w:t xml:space="preserve">Same multi-tenant infrastructure. Same Lead/Opportunity/Activity data model. Same AI features. Each new Edition adds a workflow template + 1-3 segment-specific field types — and that's it. The reuse compounds.</w:t>
      </w:r>
    </w:p>
    <w:p>
      <w:pPr>
        <w:spacing w:after="60" w:before="240"/>
      </w:pPr>
      <w:r>
        <w:rPr>
          <w:rFonts w:ascii="Arial" w:cs="Arial" w:eastAsia="Arial" w:hAnsi="Arial"/>
          <w:b/>
          <w:bCs/>
          <w:color w:val="C9A84C"/>
          <w:spacing w:val="60"/>
          <w:sz w:val="18"/>
          <w:szCs w:val="18"/>
        </w:rPr>
        <w:t xml:space="preserve">ROADMAP</w:t>
      </w:r>
    </w:p>
    <w:p>
      <w:pPr>
        <w:pStyle w:val="Heading1"/>
        <w:spacing w:after="120" w:before="240"/>
      </w:pPr>
      <w:r>
        <w:rPr>
          <w:rFonts w:ascii="Georgia" w:cs="Georgia" w:eastAsia="Georgia" w:hAnsi="Georgia"/>
          <w:b/>
          <w:bCs/>
          <w:color w:val="0F2540"/>
          <w:sz w:val="36"/>
          <w:szCs w:val="36"/>
        </w:rPr>
        <w:t xml:space="preserve">Disciplined. Segment by segment.</w:t>
      </w:r>
    </w:p>
    <w:p>
      <w:pP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0F2540" w:sz="4"/>
              <w:left w:val="single" w:color="0F2540" w:sz="4"/>
              <w:bottom w:val="single" w:color="0F2540" w:sz="4"/>
              <w:right w:val="single" w:color="0F2540" w:sz="4"/>
            </w:tcBorders>
            <w:shd w:fill="0F2540" w:val="clear"/>
            <w:tcMar>
              <w:top w:type="dxa" w:w="120"/>
              <w:left w:type="dxa" w:w="120"/>
              <w:bottom w:type="dxa" w:w="120"/>
              <w:right w:type="dxa" w:w="120"/>
            </w:tcMar>
          </w:tcPr>
          <w:p>
            <w:r>
              <w:rPr>
                <w:rFonts w:ascii="Arial" w:cs="Arial" w:eastAsia="Arial" w:hAnsi="Arial"/>
                <w:b/>
                <w:bCs/>
                <w:color w:val="C9A84C"/>
                <w:spacing w:val="30"/>
                <w:sz w:val="18"/>
                <w:szCs w:val="18"/>
              </w:rPr>
              <w:t xml:space="preserve">Period</w:t>
            </w:r>
          </w:p>
        </w:tc>
        <w:tc>
          <w:tcPr>
            <w:tcW w:type="dxa" w:w="2800"/>
            <w:tcBorders>
              <w:top w:val="single" w:color="0F2540" w:sz="4"/>
              <w:left w:val="single" w:color="0F2540" w:sz="4"/>
              <w:bottom w:val="single" w:color="0F2540" w:sz="4"/>
              <w:right w:val="single" w:color="0F2540" w:sz="4"/>
            </w:tcBorders>
            <w:shd w:fill="0F2540" w:val="clear"/>
            <w:tcMar>
              <w:top w:type="dxa" w:w="120"/>
              <w:left w:type="dxa" w:w="120"/>
              <w:bottom w:type="dxa" w:w="120"/>
              <w:right w:type="dxa" w:w="120"/>
            </w:tcMar>
          </w:tcPr>
          <w:p>
            <w:r>
              <w:rPr>
                <w:rFonts w:ascii="Arial" w:cs="Arial" w:eastAsia="Arial" w:hAnsi="Arial"/>
                <w:b/>
                <w:bCs/>
                <w:color w:val="C9A84C"/>
                <w:spacing w:val="30"/>
                <w:sz w:val="18"/>
                <w:szCs w:val="18"/>
              </w:rPr>
              <w:t xml:space="preserve">Edition</w:t>
            </w:r>
          </w:p>
        </w:tc>
        <w:tc>
          <w:tcPr>
            <w:tcW w:type="dxa" w:w="4960"/>
            <w:tcBorders>
              <w:top w:val="single" w:color="0F2540" w:sz="4"/>
              <w:left w:val="single" w:color="0F2540" w:sz="4"/>
              <w:bottom w:val="single" w:color="0F2540" w:sz="4"/>
              <w:right w:val="single" w:color="0F2540" w:sz="4"/>
            </w:tcBorders>
            <w:shd w:fill="0F2540" w:val="clear"/>
            <w:tcMar>
              <w:top w:type="dxa" w:w="120"/>
              <w:left w:type="dxa" w:w="120"/>
              <w:bottom w:type="dxa" w:w="120"/>
              <w:right w:type="dxa" w:w="120"/>
            </w:tcMar>
          </w:tcPr>
          <w:p>
            <w:r>
              <w:rPr>
                <w:rFonts w:ascii="Arial" w:cs="Arial" w:eastAsia="Arial" w:hAnsi="Arial"/>
                <w:b/>
                <w:bCs/>
                <w:color w:val="C9A84C"/>
                <w:spacing w:val="30"/>
                <w:sz w:val="18"/>
                <w:szCs w:val="18"/>
              </w:rPr>
              <w:t xml:space="preserve">Scope</w:t>
            </w:r>
          </w:p>
        </w:tc>
      </w:tr>
      <w:tr>
        <w:tc>
          <w:tcPr>
            <w:tcW w:type="dxa" w:w="1600"/>
            <w:tcBorders>
              <w:top w:val="single" w:color="E2E8F0" w:sz="4"/>
              <w:left w:val="single" w:color="C9A84C" w:sz="24"/>
              <w:bottom w:val="single" w:color="E2E8F0" w:sz="4"/>
              <w:right w:val="single" w:color="E2E8F0" w:sz="4"/>
            </w:tcBorders>
            <w:shd w:fill="FAF6EC" w:val="clear"/>
            <w:tcMar>
              <w:top w:type="dxa" w:w="100"/>
              <w:left w:type="dxa" w:w="120"/>
              <w:bottom w:type="dxa" w:w="100"/>
              <w:right w:type="dxa" w:w="120"/>
            </w:tcMar>
          </w:tcPr>
          <w:p>
            <w:r>
              <w:rPr>
                <w:rFonts w:ascii="Arial" w:cs="Arial" w:eastAsia="Arial" w:hAnsi="Arial"/>
                <w:b/>
                <w:bCs/>
                <w:color w:val="C9A84C"/>
                <w:spacing w:val="30"/>
                <w:sz w:val="18"/>
                <w:szCs w:val="18"/>
              </w:rPr>
              <w:t xml:space="preserve">NOW</w:t>
            </w:r>
          </w:p>
        </w:tc>
        <w:tc>
          <w:tcPr>
            <w:tcW w:type="dxa" w:w="2800"/>
            <w:tcBorders>
              <w:top w:val="single" w:color="E2E8F0" w:sz="4"/>
              <w:left w:val="single" w:color="E2E8F0" w:sz="4"/>
              <w:bottom w:val="single" w:color="E2E8F0" w:sz="4"/>
              <w:right w:val="single" w:color="E2E8F0" w:sz="4"/>
            </w:tcBorders>
            <w:shd w:fill="FAF6EC" w:val="clear"/>
            <w:tcMar>
              <w:top w:type="dxa" w:w="100"/>
              <w:left w:type="dxa" w:w="120"/>
              <w:bottom w:type="dxa" w:w="100"/>
              <w:right w:type="dxa" w:w="120"/>
            </w:tcMar>
          </w:tcPr>
          <w:p>
            <w:r>
              <w:rPr>
                <w:rFonts w:ascii="Calibri" w:cs="Calibri" w:eastAsia="Calibri" w:hAnsi="Calibri"/>
                <w:b/>
                <w:bCs/>
                <w:color w:val="0F2540"/>
                <w:sz w:val="22"/>
                <w:szCs w:val="22"/>
              </w:rPr>
              <w:t xml:space="preserve">Broker Edition v1</w:t>
            </w:r>
          </w:p>
        </w:tc>
        <w:tc>
          <w:tcPr>
            <w:tcW w:type="dxa" w:w="4960"/>
            <w:tcBorders>
              <w:top w:val="single" w:color="E2E8F0" w:sz="4"/>
              <w:left w:val="single" w:color="E2E8F0" w:sz="4"/>
              <w:bottom w:val="single" w:color="E2E8F0" w:sz="4"/>
              <w:right w:val="single" w:color="E2E8F0" w:sz="4"/>
            </w:tcBorders>
            <w:shd w:fill="FAF6EC" w:val="clear"/>
            <w:tcMar>
              <w:top w:type="dxa" w:w="100"/>
              <w:left w:type="dxa" w:w="120"/>
              <w:bottom w:type="dxa" w:w="100"/>
              <w:right w:type="dxa" w:w="120"/>
            </w:tcMar>
          </w:tcPr>
          <w:p>
            <w:r>
              <w:rPr>
                <w:rFonts w:ascii="Calibri" w:cs="Calibri" w:eastAsia="Calibri" w:hAnsi="Calibri"/>
                <w:color w:val="1E293B"/>
                <w:sz w:val="20"/>
                <w:szCs w:val="20"/>
              </w:rPr>
              <w:t xml:space="preserve">Foundation + 12 broker stages, AI features, anchor customer</w:t>
            </w:r>
          </w:p>
        </w:tc>
      </w:tr>
      <w:tr>
        <w:tc>
          <w:tcPr>
            <w:tcW w:type="dxa" w:w="160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Arial" w:cs="Arial" w:eastAsia="Arial" w:hAnsi="Arial"/>
                <w:b/>
                <w:bCs/>
                <w:color w:val="64748B"/>
                <w:spacing w:val="30"/>
                <w:sz w:val="18"/>
                <w:szCs w:val="18"/>
              </w:rPr>
              <w:t xml:space="preserve">Jul 2026</w:t>
            </w:r>
          </w:p>
        </w:tc>
        <w:tc>
          <w:tcPr>
            <w:tcW w:type="dxa" w:w="280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Calibri" w:cs="Calibri" w:eastAsia="Calibri" w:hAnsi="Calibri"/>
                <w:b/>
                <w:bCs/>
                <w:color w:val="0F2540"/>
                <w:sz w:val="22"/>
                <w:szCs w:val="22"/>
              </w:rPr>
              <w:t xml:space="preserve">Broker v1.x</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Calibri" w:cs="Calibri" w:eastAsia="Calibri" w:hAnsi="Calibri"/>
                <w:color w:val="1E293B"/>
                <w:sz w:val="20"/>
                <w:szCs w:val="20"/>
              </w:rPr>
              <w:t xml:space="preserve">Reports redesign, Manager view, branded PDFs</w:t>
            </w:r>
          </w:p>
        </w:tc>
      </w:tr>
      <w:tr>
        <w:tc>
          <w:tcPr>
            <w:tcW w:type="dxa" w:w="160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Arial" w:cs="Arial" w:eastAsia="Arial" w:hAnsi="Arial"/>
                <w:b/>
                <w:bCs/>
                <w:color w:val="64748B"/>
                <w:spacing w:val="30"/>
                <w:sz w:val="18"/>
                <w:szCs w:val="18"/>
              </w:rPr>
              <w:t xml:space="preserve">Late 2026</w:t>
            </w:r>
          </w:p>
        </w:tc>
        <w:tc>
          <w:tcPr>
            <w:tcW w:type="dxa" w:w="280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Calibri" w:cs="Calibri" w:eastAsia="Calibri" w:hAnsi="Calibri"/>
                <w:b/>
                <w:bCs/>
                <w:color w:val="0F2540"/>
                <w:sz w:val="22"/>
                <w:szCs w:val="22"/>
              </w:rPr>
              <w:t xml:space="preserve">Broker v1.5</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Calibri" w:cs="Calibri" w:eastAsia="Calibri" w:hAnsi="Calibri"/>
                <w:color w:val="1E293B"/>
                <w:sz w:val="20"/>
                <w:szCs w:val="20"/>
              </w:rPr>
              <w:t xml:space="preserve">Lead-ownership policy, AI extensions (voice + autonomy)</w:t>
            </w:r>
          </w:p>
        </w:tc>
      </w:tr>
      <w:tr>
        <w:tc>
          <w:tcPr>
            <w:tcW w:type="dxa" w:w="160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Arial" w:cs="Arial" w:eastAsia="Arial" w:hAnsi="Arial"/>
                <w:b/>
                <w:bCs/>
                <w:color w:val="64748B"/>
                <w:spacing w:val="30"/>
                <w:sz w:val="18"/>
                <w:szCs w:val="18"/>
              </w:rPr>
              <w:t xml:space="preserve">Year 2 H1</w:t>
            </w:r>
          </w:p>
        </w:tc>
        <w:tc>
          <w:tcPr>
            <w:tcW w:type="dxa" w:w="280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Calibri" w:cs="Calibri" w:eastAsia="Calibri" w:hAnsi="Calibri"/>
                <w:b/>
                <w:bCs/>
                <w:color w:val="0F2540"/>
                <w:sz w:val="22"/>
                <w:szCs w:val="22"/>
              </w:rPr>
              <w:t xml:space="preserve">Builder Edition v1</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Calibri" w:cs="Calibri" w:eastAsia="Calibri" w:hAnsi="Calibri"/>
                <w:color w:val="1E293B"/>
                <w:sz w:val="20"/>
                <w:szCs w:val="20"/>
              </w:rPr>
              <w:t xml:space="preserve">Reservation workflow, deposit tracking, SPA, DLD/Oqood</w:t>
            </w:r>
          </w:p>
        </w:tc>
      </w:tr>
      <w:tr>
        <w:tc>
          <w:tcPr>
            <w:tcW w:type="dxa" w:w="160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Arial" w:cs="Arial" w:eastAsia="Arial" w:hAnsi="Arial"/>
                <w:b/>
                <w:bCs/>
                <w:color w:val="64748B"/>
                <w:spacing w:val="30"/>
                <w:sz w:val="18"/>
                <w:szCs w:val="18"/>
              </w:rPr>
              <w:t xml:space="preserve">Year 2 H2</w:t>
            </w:r>
          </w:p>
        </w:tc>
        <w:tc>
          <w:tcPr>
            <w:tcW w:type="dxa" w:w="280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Calibri" w:cs="Calibri" w:eastAsia="Calibri" w:hAnsi="Calibri"/>
                <w:b/>
                <w:bCs/>
                <w:color w:val="0F2540"/>
                <w:sz w:val="22"/>
                <w:szCs w:val="22"/>
              </w:rPr>
              <w:t xml:space="preserve">Contractor Edition</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Calibri" w:cs="Calibri" w:eastAsia="Calibri" w:hAnsi="Calibri"/>
                <w:color w:val="1E293B"/>
                <w:sz w:val="20"/>
                <w:szCs w:val="20"/>
              </w:rPr>
              <w:t xml:space="preserve">Project bidding, sub-contractor mgmt, milestones</w:t>
            </w:r>
          </w:p>
        </w:tc>
      </w:tr>
      <w:tr>
        <w:tc>
          <w:tcPr>
            <w:tcW w:type="dxa" w:w="160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Arial" w:cs="Arial" w:eastAsia="Arial" w:hAnsi="Arial"/>
                <w:b/>
                <w:bCs/>
                <w:color w:val="64748B"/>
                <w:spacing w:val="30"/>
                <w:sz w:val="18"/>
                <w:szCs w:val="18"/>
              </w:rPr>
              <w:t xml:space="preserve">Year 3 H1</w:t>
            </w:r>
          </w:p>
        </w:tc>
        <w:tc>
          <w:tcPr>
            <w:tcW w:type="dxa" w:w="280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Calibri" w:cs="Calibri" w:eastAsia="Calibri" w:hAnsi="Calibri"/>
                <w:b/>
                <w:bCs/>
                <w:color w:val="0F2540"/>
                <w:sz w:val="22"/>
                <w:szCs w:val="22"/>
              </w:rPr>
              <w:t xml:space="preserve">Construction Planning</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Calibri" w:cs="Calibri" w:eastAsia="Calibri" w:hAnsi="Calibri"/>
                <w:color w:val="1E293B"/>
                <w:sz w:val="20"/>
                <w:szCs w:val="20"/>
              </w:rPr>
              <w:t xml:space="preserve">Land acquisition, master plans, regulatory approvals</w:t>
            </w:r>
          </w:p>
        </w:tc>
      </w:tr>
      <w:tr>
        <w:tc>
          <w:tcPr>
            <w:tcW w:type="dxa" w:w="160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Arial" w:cs="Arial" w:eastAsia="Arial" w:hAnsi="Arial"/>
                <w:b/>
                <w:bCs/>
                <w:color w:val="64748B"/>
                <w:spacing w:val="30"/>
                <w:sz w:val="18"/>
                <w:szCs w:val="18"/>
              </w:rPr>
              <w:t xml:space="preserve">Year 3 H2</w:t>
            </w:r>
          </w:p>
        </w:tc>
        <w:tc>
          <w:tcPr>
            <w:tcW w:type="dxa" w:w="280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Calibri" w:cs="Calibri" w:eastAsia="Calibri" w:hAnsi="Calibri"/>
                <w:b/>
                <w:bCs/>
                <w:color w:val="0F2540"/>
                <w:sz w:val="22"/>
                <w:szCs w:val="22"/>
              </w:rPr>
              <w:t xml:space="preserve">Facilities Management</w:t>
            </w:r>
          </w:p>
        </w:tc>
        <w:tc>
          <w:tcPr>
            <w:tcW w:type="dxa" w:w="496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Calibri" w:cs="Calibri" w:eastAsia="Calibri" w:hAnsi="Calibri"/>
                <w:color w:val="1E293B"/>
                <w:sz w:val="20"/>
                <w:szCs w:val="20"/>
              </w:rPr>
              <w:t xml:space="preserve">Tenant management, maintenance, contracts</w:t>
            </w:r>
          </w:p>
        </w:tc>
      </w:tr>
    </w:tbl>
    <w:p>
      <w:pPr>
        <w:spacing w:after="120" w:before="120"/>
      </w:pPr>
    </w:p>
    <w:p>
      <w:pPr>
        <w:spacing w:after="120" w:line="320"/>
        <w:jc w:val="left"/>
      </w:pPr>
      <w:r>
        <w:rPr>
          <w:rFonts w:ascii="Calibri" w:cs="Calibri" w:eastAsia="Calibri" w:hAnsi="Calibri"/>
          <w:b w:val="false"/>
          <w:bCs w:val="false"/>
          <w:i/>
          <w:iCs/>
          <w:color w:val="64748B"/>
          <w:sz w:val="22"/>
          <w:szCs w:val="22"/>
        </w:rPr>
        <w:t xml:space="preserve">By end of Year 3: PropPlatform is the unified operating system for the UAE property industry. No competitor has this position.</w:t>
      </w:r>
    </w:p>
    <w:p>
      <w:pPr>
        <w:spacing w:after="60" w:before="240"/>
      </w:pPr>
      <w:r>
        <w:rPr>
          <w:rFonts w:ascii="Arial" w:cs="Arial" w:eastAsia="Arial" w:hAnsi="Arial"/>
          <w:b/>
          <w:bCs/>
          <w:color w:val="C9A84C"/>
          <w:spacing w:val="60"/>
          <w:sz w:val="18"/>
          <w:szCs w:val="18"/>
        </w:rPr>
        <w:t xml:space="preserve">THE MARKET</w:t>
      </w:r>
    </w:p>
    <w:p>
      <w:pPr>
        <w:pStyle w:val="Heading1"/>
        <w:spacing w:after="120" w:before="240"/>
      </w:pPr>
      <w:r>
        <w:rPr>
          <w:rFonts w:ascii="Georgia" w:cs="Georgia" w:eastAsia="Georgia" w:hAnsi="Georgia"/>
          <w:b/>
          <w:bCs/>
          <w:color w:val="0F2540"/>
          <w:sz w:val="36"/>
          <w:szCs w:val="36"/>
        </w:rPr>
        <w:t xml:space="preserve">AED 850M+ addressable annual SaaS market.</w:t>
      </w:r>
    </w:p>
    <w:p>
      <w:pPr>
        <w:spacing w:after="120" w:line="320"/>
        <w:jc w:val="left"/>
      </w:pPr>
      <w:r>
        <w:rPr>
          <w:rFonts w:ascii="Calibri" w:cs="Calibri" w:eastAsia="Calibri" w:hAnsi="Calibri"/>
          <w:b w:val="false"/>
          <w:bCs w:val="false"/>
          <w:i w:val="false"/>
          <w:iCs w:val="false"/>
          <w:color w:val="1E293B"/>
          <w:sz w:val="22"/>
          <w:szCs w:val="22"/>
        </w:rPr>
        <w:t xml:space="preserve">Across five segments of the UAE property industry value chain:</w:t>
      </w:r>
    </w:p>
    <w:p>
      <w:pPr>
        <w:spacing w:after="12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4160"/>
      </w:tblGrid>
      <w:tr>
        <w:trPr>
          <w:tblHeader/>
        </w:trPr>
        <w:tc>
          <w:tcPr>
            <w:tcW w:type="dxa" w:w="3120"/>
            <w:tcBorders>
              <w:top w:val="single" w:color="0F2540" w:sz="4"/>
              <w:left w:val="single" w:color="0F2540" w:sz="4"/>
              <w:bottom w:val="single" w:color="0F2540" w:sz="4"/>
              <w:right w:val="single" w:color="0F2540" w:sz="4"/>
            </w:tcBorders>
            <w:shd w:fill="0F2540" w:val="clear"/>
            <w:tcMar>
              <w:top w:type="dxa" w:w="120"/>
              <w:left w:type="dxa" w:w="120"/>
              <w:bottom w:type="dxa" w:w="120"/>
              <w:right w:type="dxa" w:w="120"/>
            </w:tcMar>
          </w:tcPr>
          <w:p>
            <w:r>
              <w:rPr>
                <w:rFonts w:ascii="Arial" w:cs="Arial" w:eastAsia="Arial" w:hAnsi="Arial"/>
                <w:b/>
                <w:bCs/>
                <w:color w:val="C9A84C"/>
                <w:spacing w:val="30"/>
                <w:sz w:val="18"/>
                <w:szCs w:val="18"/>
              </w:rPr>
              <w:t xml:space="preserve">Segment</w:t>
            </w:r>
          </w:p>
        </w:tc>
        <w:tc>
          <w:tcPr>
            <w:tcW w:type="dxa" w:w="2080"/>
            <w:tcBorders>
              <w:top w:val="single" w:color="0F2540" w:sz="4"/>
              <w:left w:val="single" w:color="0F2540" w:sz="4"/>
              <w:bottom w:val="single" w:color="0F2540" w:sz="4"/>
              <w:right w:val="single" w:color="0F2540" w:sz="4"/>
            </w:tcBorders>
            <w:shd w:fill="0F2540" w:val="clear"/>
            <w:tcMar>
              <w:top w:type="dxa" w:w="120"/>
              <w:left w:type="dxa" w:w="120"/>
              <w:bottom w:type="dxa" w:w="120"/>
              <w:right w:type="dxa" w:w="120"/>
            </w:tcMar>
          </w:tcPr>
          <w:p>
            <w:r>
              <w:rPr>
                <w:rFonts w:ascii="Arial" w:cs="Arial" w:eastAsia="Arial" w:hAnsi="Arial"/>
                <w:b/>
                <w:bCs/>
                <w:color w:val="C9A84C"/>
                <w:spacing w:val="30"/>
                <w:sz w:val="18"/>
                <w:szCs w:val="18"/>
              </w:rPr>
              <w:t xml:space="preserve">Firm count</w:t>
            </w:r>
          </w:p>
        </w:tc>
        <w:tc>
          <w:tcPr>
            <w:tcW w:type="dxa" w:w="4160"/>
            <w:tcBorders>
              <w:top w:val="single" w:color="0F2540" w:sz="4"/>
              <w:left w:val="single" w:color="0F2540" w:sz="4"/>
              <w:bottom w:val="single" w:color="0F2540" w:sz="4"/>
              <w:right w:val="single" w:color="0F2540" w:sz="4"/>
            </w:tcBorders>
            <w:shd w:fill="0F2540" w:val="clear"/>
            <w:tcMar>
              <w:top w:type="dxa" w:w="120"/>
              <w:left w:type="dxa" w:w="120"/>
              <w:bottom w:type="dxa" w:w="120"/>
              <w:right w:type="dxa" w:w="120"/>
            </w:tcMar>
          </w:tcPr>
          <w:p>
            <w:r>
              <w:rPr>
                <w:rFonts w:ascii="Arial" w:cs="Arial" w:eastAsia="Arial" w:hAnsi="Arial"/>
                <w:b/>
                <w:bCs/>
                <w:color w:val="C9A84C"/>
                <w:spacing w:val="30"/>
                <w:sz w:val="18"/>
                <w:szCs w:val="18"/>
              </w:rPr>
              <w:t xml:space="preserve">Sales motion</w:t>
            </w:r>
          </w:p>
        </w:tc>
      </w:tr>
      <w:tr>
        <w:tc>
          <w:tcPr>
            <w:tcW w:type="dxa" w:w="3120"/>
            <w:tcBorders>
              <w:top w:val="single" w:color="E2E8F0" w:sz="4"/>
              <w:left w:val="single" w:color="C9A84C" w:sz="24"/>
              <w:bottom w:val="single" w:color="E2E8F0" w:sz="4"/>
              <w:right w:val="single" w:color="E2E8F0" w:sz="4"/>
            </w:tcBorders>
            <w:shd w:fill="FAF6EC" w:val="clear"/>
            <w:tcMar>
              <w:top w:type="dxa" w:w="100"/>
              <w:left w:type="dxa" w:w="120"/>
              <w:bottom w:type="dxa" w:w="100"/>
              <w:right w:type="dxa" w:w="120"/>
            </w:tcMar>
          </w:tcPr>
          <w:p>
            <w:r>
              <w:rPr>
                <w:rFonts w:ascii="Calibri" w:cs="Calibri" w:eastAsia="Calibri" w:hAnsi="Calibri"/>
                <w:b/>
                <w:bCs/>
                <w:color w:val="0F2540"/>
                <w:sz w:val="20"/>
                <w:szCs w:val="20"/>
              </w:rPr>
              <w:t xml:space="preserve">Broker</w:t>
            </w:r>
          </w:p>
        </w:tc>
        <w:tc>
          <w:tcPr>
            <w:tcW w:type="dxa" w:w="2080"/>
            <w:tcBorders>
              <w:top w:val="single" w:color="E2E8F0" w:sz="4"/>
              <w:left w:val="single" w:color="E2E8F0" w:sz="4"/>
              <w:bottom w:val="single" w:color="E2E8F0" w:sz="4"/>
              <w:right w:val="single" w:color="E2E8F0" w:sz="4"/>
            </w:tcBorders>
            <w:shd w:fill="FAF6EC" w:val="clear"/>
            <w:tcMar>
              <w:top w:type="dxa" w:w="100"/>
              <w:left w:type="dxa" w:w="120"/>
              <w:bottom w:type="dxa" w:w="100"/>
              <w:right w:type="dxa" w:w="120"/>
            </w:tcMar>
          </w:tcPr>
          <w:p>
            <w:r>
              <w:rPr>
                <w:rFonts w:ascii="Calibri" w:cs="Calibri" w:eastAsia="Calibri" w:hAnsi="Calibri"/>
                <w:b w:val="false"/>
                <w:bCs w:val="false"/>
                <w:color w:val="1E293B"/>
                <w:sz w:val="20"/>
                <w:szCs w:val="20"/>
              </w:rPr>
              <w:t xml:space="preserve">~5,000+</w:t>
            </w:r>
          </w:p>
        </w:tc>
        <w:tc>
          <w:tcPr>
            <w:tcW w:type="dxa" w:w="4160"/>
            <w:tcBorders>
              <w:top w:val="single" w:color="E2E8F0" w:sz="4"/>
              <w:left w:val="single" w:color="E2E8F0" w:sz="4"/>
              <w:bottom w:val="single" w:color="E2E8F0" w:sz="4"/>
              <w:right w:val="single" w:color="E2E8F0" w:sz="4"/>
            </w:tcBorders>
            <w:shd w:fill="FAF6EC" w:val="clear"/>
            <w:tcMar>
              <w:top w:type="dxa" w:w="100"/>
              <w:left w:type="dxa" w:w="120"/>
              <w:bottom w:type="dxa" w:w="100"/>
              <w:right w:type="dxa" w:w="120"/>
            </w:tcMar>
          </w:tcPr>
          <w:p>
            <w:r>
              <w:rPr>
                <w:rFonts w:ascii="Calibri" w:cs="Calibri" w:eastAsia="Calibri" w:hAnsi="Calibri"/>
                <w:b w:val="false"/>
                <w:bCs w:val="false"/>
                <w:color w:val="1E293B"/>
                <w:sz w:val="20"/>
                <w:szCs w:val="20"/>
              </w:rPr>
              <w:t xml:space="preserve">High-velocity SaaS, monthly recurring</w:t>
            </w:r>
          </w:p>
        </w:tc>
      </w:tr>
      <w:tr>
        <w:tc>
          <w:tcPr>
            <w:tcW w:type="dxa" w:w="312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rFonts w:ascii="Calibri" w:cs="Calibri" w:eastAsia="Calibri" w:hAnsi="Calibri"/>
                <w:b/>
                <w:bCs/>
                <w:color w:val="1E293B"/>
                <w:sz w:val="20"/>
                <w:szCs w:val="20"/>
              </w:rPr>
              <w:t xml:space="preserve">Builder / Developer</w:t>
            </w:r>
          </w:p>
        </w:tc>
        <w:tc>
          <w:tcPr>
            <w:tcW w:type="dxa" w:w="208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rFonts w:ascii="Calibri" w:cs="Calibri" w:eastAsia="Calibri" w:hAnsi="Calibri"/>
                <w:b w:val="false"/>
                <w:bCs w:val="false"/>
                <w:color w:val="1E293B"/>
                <w:sz w:val="20"/>
                <w:szCs w:val="20"/>
              </w:rPr>
              <w:t xml:space="preserve">~30-50 major</w:t>
            </w:r>
          </w:p>
        </w:tc>
        <w:tc>
          <w:tcPr>
            <w:tcW w:type="dxa" w:w="416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rFonts w:ascii="Calibri" w:cs="Calibri" w:eastAsia="Calibri" w:hAnsi="Calibri"/>
                <w:b w:val="false"/>
                <w:bCs w:val="false"/>
                <w:color w:val="1E293B"/>
                <w:sz w:val="20"/>
                <w:szCs w:val="20"/>
              </w:rPr>
              <w:t xml:space="preserve">Long enterprise sale, large contracts</w:t>
            </w:r>
          </w:p>
        </w:tc>
      </w:tr>
      <w:tr>
        <w:tc>
          <w:tcPr>
            <w:tcW w:type="dxa" w:w="312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Calibri" w:cs="Calibri" w:eastAsia="Calibri" w:hAnsi="Calibri"/>
                <w:b/>
                <w:bCs/>
                <w:color w:val="1E293B"/>
                <w:sz w:val="20"/>
                <w:szCs w:val="20"/>
              </w:rPr>
              <w:t xml:space="preserve">Contractor</w:t>
            </w:r>
          </w:p>
        </w:tc>
        <w:tc>
          <w:tcPr>
            <w:tcW w:type="dxa" w:w="208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Calibri" w:cs="Calibri" w:eastAsia="Calibri" w:hAnsi="Calibri"/>
                <w:b w:val="false"/>
                <w:bCs w:val="false"/>
                <w:color w:val="1E293B"/>
                <w:sz w:val="20"/>
                <w:szCs w:val="20"/>
              </w:rPr>
              <w:t xml:space="preserve">~500+</w:t>
            </w:r>
          </w:p>
        </w:tc>
        <w:tc>
          <w:tcPr>
            <w:tcW w:type="dxa" w:w="416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Calibri" w:cs="Calibri" w:eastAsia="Calibri" w:hAnsi="Calibri"/>
                <w:b w:val="false"/>
                <w:bCs w:val="false"/>
                <w:color w:val="1E293B"/>
                <w:sz w:val="20"/>
                <w:szCs w:val="20"/>
              </w:rPr>
              <w:t xml:space="preserve">Medium-velocity SaaS</w:t>
            </w:r>
          </w:p>
        </w:tc>
      </w:tr>
      <w:tr>
        <w:tc>
          <w:tcPr>
            <w:tcW w:type="dxa" w:w="312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rFonts w:ascii="Calibri" w:cs="Calibri" w:eastAsia="Calibri" w:hAnsi="Calibri"/>
                <w:b/>
                <w:bCs/>
                <w:color w:val="1E293B"/>
                <w:sz w:val="20"/>
                <w:szCs w:val="20"/>
              </w:rPr>
              <w:t xml:space="preserve">Construction Planning</w:t>
            </w:r>
          </w:p>
        </w:tc>
        <w:tc>
          <w:tcPr>
            <w:tcW w:type="dxa" w:w="208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rFonts w:ascii="Calibri" w:cs="Calibri" w:eastAsia="Calibri" w:hAnsi="Calibri"/>
                <w:b w:val="false"/>
                <w:bCs w:val="false"/>
                <w:color w:val="1E293B"/>
                <w:sz w:val="20"/>
                <w:szCs w:val="20"/>
              </w:rPr>
              <w:t xml:space="preserve">Tens</w:t>
            </w:r>
          </w:p>
        </w:tc>
        <w:tc>
          <w:tcPr>
            <w:tcW w:type="dxa" w:w="4160"/>
            <w:tcBorders>
              <w:top w:val="single" w:color="E2E8F0" w:sz="4"/>
              <w:left w:val="single" w:color="E2E8F0" w:sz="4"/>
              <w:bottom w:val="single" w:color="E2E8F0" w:sz="4"/>
              <w:right w:val="single" w:color="E2E8F0" w:sz="4"/>
            </w:tcBorders>
            <w:shd w:fill="F8FAFC" w:val="clear"/>
            <w:tcMar>
              <w:top w:type="dxa" w:w="100"/>
              <w:left w:type="dxa" w:w="120"/>
              <w:bottom w:type="dxa" w:w="100"/>
              <w:right w:type="dxa" w:w="120"/>
            </w:tcMar>
          </w:tcPr>
          <w:p>
            <w:r>
              <w:rPr>
                <w:rFonts w:ascii="Calibri" w:cs="Calibri" w:eastAsia="Calibri" w:hAnsi="Calibri"/>
                <w:b w:val="false"/>
                <w:bCs w:val="false"/>
                <w:color w:val="1E293B"/>
                <w:sz w:val="20"/>
                <w:szCs w:val="20"/>
              </w:rPr>
              <w:t xml:space="preserve">Long enterprise sale</w:t>
            </w:r>
          </w:p>
        </w:tc>
      </w:tr>
      <w:tr>
        <w:tc>
          <w:tcPr>
            <w:tcW w:type="dxa" w:w="312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Calibri" w:cs="Calibri" w:eastAsia="Calibri" w:hAnsi="Calibri"/>
                <w:b/>
                <w:bCs/>
                <w:color w:val="1E293B"/>
                <w:sz w:val="20"/>
                <w:szCs w:val="20"/>
              </w:rPr>
              <w:t xml:space="preserve">Facilities Management</w:t>
            </w:r>
          </w:p>
        </w:tc>
        <w:tc>
          <w:tcPr>
            <w:tcW w:type="dxa" w:w="208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Calibri" w:cs="Calibri" w:eastAsia="Calibri" w:hAnsi="Calibri"/>
                <w:b w:val="false"/>
                <w:bCs w:val="false"/>
                <w:color w:val="1E293B"/>
                <w:sz w:val="20"/>
                <w:szCs w:val="20"/>
              </w:rPr>
              <w:t xml:space="preserve">Hundreds</w:t>
            </w:r>
          </w:p>
        </w:tc>
        <w:tc>
          <w:tcPr>
            <w:tcW w:type="dxa" w:w="4160"/>
            <w:tcBorders>
              <w:top w:val="single" w:color="E2E8F0" w:sz="4"/>
              <w:left w:val="single" w:color="E2E8F0" w:sz="4"/>
              <w:bottom w:val="single" w:color="E2E8F0" w:sz="4"/>
              <w:right w:val="single" w:color="E2E8F0" w:sz="4"/>
            </w:tcBorders>
            <w:shd w:fill="FFFFFF" w:val="clear"/>
            <w:tcMar>
              <w:top w:type="dxa" w:w="100"/>
              <w:left w:type="dxa" w:w="120"/>
              <w:bottom w:type="dxa" w:w="100"/>
              <w:right w:type="dxa" w:w="120"/>
            </w:tcMar>
          </w:tcPr>
          <w:p>
            <w:r>
              <w:rPr>
                <w:rFonts w:ascii="Calibri" w:cs="Calibri" w:eastAsia="Calibri" w:hAnsi="Calibri"/>
                <w:b w:val="false"/>
                <w:bCs w:val="false"/>
                <w:color w:val="1E293B"/>
                <w:sz w:val="20"/>
                <w:szCs w:val="20"/>
              </w:rPr>
              <w:t xml:space="preserve">Medium-velocity SaaS</w:t>
            </w:r>
          </w:p>
        </w:tc>
      </w:tr>
    </w:tbl>
    <w:p>
      <w:pPr>
        <w:spacing w:after="120" w:before="120"/>
      </w:pPr>
    </w:p>
    <w:p>
      <w:pPr>
        <w:spacing w:after="60" w:before="240"/>
      </w:pPr>
      <w:r>
        <w:rPr>
          <w:rFonts w:ascii="Arial" w:cs="Arial" w:eastAsia="Arial" w:hAnsi="Arial"/>
          <w:b/>
          <w:bCs/>
          <w:color w:val="C9A84C"/>
          <w:spacing w:val="60"/>
          <w:sz w:val="18"/>
          <w:szCs w:val="18"/>
        </w:rPr>
        <w:t xml:space="preserve">WHY US</w:t>
      </w:r>
    </w:p>
    <w:p>
      <w:pPr>
        <w:pStyle w:val="Heading1"/>
        <w:spacing w:after="120" w:before="240"/>
      </w:pPr>
      <w:r>
        <w:rPr>
          <w:rFonts w:ascii="Georgia" w:cs="Georgia" w:eastAsia="Georgia" w:hAnsi="Georgia"/>
          <w:b/>
          <w:bCs/>
          <w:color w:val="0F2540"/>
          <w:sz w:val="36"/>
          <w:szCs w:val="36"/>
        </w:rPr>
        <w:t xml:space="preserve">Working product. Anchor customer. Defensible moat.</w:t>
      </w:r>
    </w:p>
    <w:p>
      <w:pPr>
        <w:pStyle w:val="ListParagraph"/>
        <w:numPr>
          <w:ilvl w:val="0"/>
          <w:numId w:val="2"/>
        </w:numPr>
        <w:spacing w:after="60" w:line="300"/>
      </w:pPr>
      <w:r>
        <w:rPr>
          <w:rFonts w:ascii="Calibri" w:cs="Calibri" w:eastAsia="Calibri" w:hAnsi="Calibri"/>
          <w:color w:val="1E293B"/>
          <w:sz w:val="22"/>
          <w:szCs w:val="22"/>
        </w:rPr>
        <w:t xml:space="preserve">Working product, deployed, tested — 14,000+ lines of production code.</w:t>
      </w:r>
    </w:p>
    <w:p>
      <w:pPr>
        <w:pStyle w:val="ListParagraph"/>
        <w:numPr>
          <w:ilvl w:val="0"/>
          <w:numId w:val="2"/>
        </w:numPr>
        <w:spacing w:after="60" w:line="300"/>
      </w:pPr>
      <w:r>
        <w:rPr>
          <w:rFonts w:ascii="Calibri" w:cs="Calibri" w:eastAsia="Calibri" w:hAnsi="Calibri"/>
          <w:color w:val="1E293B"/>
          <w:sz w:val="22"/>
          <w:szCs w:val="22"/>
        </w:rPr>
        <w:t xml:space="preserve">Anchor customer signed (Al Mansoori Properties).</w:t>
      </w:r>
    </w:p>
    <w:p>
      <w:pPr>
        <w:pStyle w:val="ListParagraph"/>
        <w:numPr>
          <w:ilvl w:val="0"/>
          <w:numId w:val="2"/>
        </w:numPr>
        <w:spacing w:after="60" w:line="300"/>
      </w:pPr>
      <w:r>
        <w:rPr>
          <w:rFonts w:ascii="Calibri" w:cs="Calibri" w:eastAsia="Calibri" w:hAnsi="Calibri"/>
          <w:color w:val="1E293B"/>
          <w:sz w:val="22"/>
          <w:szCs w:val="22"/>
        </w:rPr>
        <w:t xml:space="preserve">Founder with deep enterprise software background.</w:t>
      </w:r>
    </w:p>
    <w:p>
      <w:pPr>
        <w:pStyle w:val="ListParagraph"/>
        <w:numPr>
          <w:ilvl w:val="0"/>
          <w:numId w:val="2"/>
        </w:numPr>
        <w:spacing w:after="60" w:line="300"/>
      </w:pPr>
      <w:r>
        <w:rPr>
          <w:rFonts w:ascii="Calibri" w:cs="Calibri" w:eastAsia="Calibri" w:hAnsi="Calibri"/>
          <w:color w:val="1E293B"/>
          <w:sz w:val="22"/>
          <w:szCs w:val="22"/>
        </w:rPr>
        <w:t xml:space="preserve">Configurable architecture supports 5 future segments without rebuild.</w:t>
      </w:r>
    </w:p>
    <w:p>
      <w:pPr>
        <w:pStyle w:val="ListParagraph"/>
        <w:numPr>
          <w:ilvl w:val="0"/>
          <w:numId w:val="2"/>
        </w:numPr>
        <w:spacing w:after="60" w:line="300"/>
      </w:pPr>
      <w:r>
        <w:rPr>
          <w:rFonts w:ascii="Calibri" w:cs="Calibri" w:eastAsia="Calibri" w:hAnsi="Calibri"/>
          <w:color w:val="1E293B"/>
          <w:sz w:val="22"/>
          <w:szCs w:val="22"/>
        </w:rPr>
        <w:t xml:space="preserve">PropPulse — multi-tenant catalogue with import-and-own mechanics — structurally different from existing UAE off-plan tools.</w:t>
      </w:r>
    </w:p>
    <w:p>
      <w:pPr>
        <w:pStyle w:val="ListParagraph"/>
        <w:numPr>
          <w:ilvl w:val="0"/>
          <w:numId w:val="2"/>
        </w:numPr>
        <w:spacing w:after="60" w:line="300"/>
      </w:pPr>
      <w:r>
        <w:rPr>
          <w:rFonts w:ascii="Calibri" w:cs="Calibri" w:eastAsia="Calibri" w:hAnsi="Calibri"/>
          <w:color w:val="1E293B"/>
          <w:sz w:val="22"/>
          <w:szCs w:val="22"/>
        </w:rPr>
        <w:t xml:space="preserve">AI working deep in workflow (Briefing, Coach, Compose, Match) — competitors use AI superficially.</w:t>
      </w:r>
    </w:p>
    <w:p>
      <w:pPr>
        <w:spacing w:after="60" w:before="240"/>
      </w:pPr>
      <w:r>
        <w:rPr>
          <w:rFonts w:ascii="Arial" w:cs="Arial" w:eastAsia="Arial" w:hAnsi="Arial"/>
          <w:b/>
          <w:bCs/>
          <w:color w:val="C9A84C"/>
          <w:spacing w:val="60"/>
          <w:sz w:val="18"/>
          <w:szCs w:val="18"/>
        </w:rPr>
        <w:t xml:space="preserve">THE ASK</w:t>
      </w:r>
    </w:p>
    <w:p>
      <w:pPr>
        <w:pStyle w:val="Heading1"/>
        <w:spacing w:after="120" w:before="240"/>
      </w:pPr>
      <w:r>
        <w:rPr>
          <w:rFonts w:ascii="Georgia" w:cs="Georgia" w:eastAsia="Georgia" w:hAnsi="Georgia"/>
          <w:b/>
          <w:bCs/>
          <w:color w:val="0F2540"/>
          <w:sz w:val="36"/>
          <w:szCs w:val="36"/>
        </w:rPr>
        <w:t xml:space="preserve">Partner with us to own UAE property tech.</w:t>
      </w:r>
    </w:p>
    <w:p>
      <w:pPr>
        <w:spacing w:after="120" w:line="320"/>
        <w:jc w:val="left"/>
      </w:pPr>
      <w:r>
        <w:rPr>
          <w:rFonts w:ascii="Calibri" w:cs="Calibri" w:eastAsia="Calibri" w:hAnsi="Calibri"/>
          <w:b w:val="false"/>
          <w:bCs w:val="false"/>
          <w:i w:val="false"/>
          <w:iCs w:val="false"/>
          <w:color w:val="1E293B"/>
          <w:sz w:val="22"/>
          <w:szCs w:val="22"/>
        </w:rPr>
        <w:t xml:space="preserve">Seed round to scale Broker Edition. 12-18 months runway for product completion, sales team, and customer success across 20-50 broker firms. The architecture is paid for. The hard product decisions are made. What's left is execution — and bringing the right partners along for the ride.</w:t>
      </w:r>
    </w:p>
    <w:p>
      <w:pPr>
        <w:pBdr>
          <w:left w:val="single" w:color="C9A84C" w:sz="24" w:space="12"/>
        </w:pBdr>
        <w:spacing w:after="200" w:before="200" w:line="320"/>
        <w:ind w:left="360" w:right="360"/>
      </w:pPr>
      <w:r>
        <w:rPr>
          <w:rFonts w:ascii="Georgia" w:cs="Georgia" w:eastAsia="Georgia" w:hAnsi="Georgia"/>
          <w:i/>
          <w:iCs/>
          <w:color w:val="0F2540"/>
          <w:sz w:val="24"/>
          <w:szCs w:val="24"/>
        </w:rPr>
        <w:t xml:space="preserve">We don't try to be everything at once. We ship Broker Edition first, prove it, then add segments one at a time. Same platform. Each release expands the market.</w:t>
      </w:r>
    </w:p>
    <w:p>
      <w:pPr>
        <w:pBdr>
          <w:bottom w:val="single" w:color="C9A84C" w:sz="6" w:space="4"/>
        </w:pBdr>
        <w:spacing w:after="120" w:before="120"/>
      </w:pPr>
    </w:p>
    <w:p>
      <w:pPr>
        <w:spacing w:after="60" w:line="320"/>
        <w:jc w:val="left"/>
      </w:pPr>
      <w:r>
        <w:rPr>
          <w:rFonts w:ascii="Calibri" w:cs="Calibri" w:eastAsia="Calibri" w:hAnsi="Calibri"/>
          <w:b/>
          <w:bCs/>
          <w:i w:val="false"/>
          <w:iCs w:val="false"/>
          <w:color w:val="0F2540"/>
          <w:sz w:val="26"/>
          <w:szCs w:val="26"/>
        </w:rPr>
        <w:t xml:space="preserve">Abid Mirza</w:t>
      </w:r>
      <w:r>
        <w:rPr>
          <w:rFonts w:ascii="Calibri" w:cs="Calibri" w:eastAsia="Calibri" w:hAnsi="Calibri"/>
          <w:b w:val="false"/>
          <w:bCs w:val="false"/>
          <w:i w:val="false"/>
          <w:iCs w:val="false"/>
          <w:color w:val="64748B"/>
          <w:sz w:val="22"/>
          <w:szCs w:val="22"/>
        </w:rPr>
        <w:t xml:space="preserve">  ·  Founder, BFC</w:t>
      </w:r>
    </w:p>
    <w:p>
      <w:pPr>
        <w:spacing w:after="120" w:line="320"/>
        <w:jc w:val="left"/>
      </w:pPr>
      <w:r>
        <w:rPr>
          <w:rFonts w:ascii="Calibri" w:cs="Calibri" w:eastAsia="Calibri" w:hAnsi="Calibri"/>
          <w:b/>
          <w:bCs/>
          <w:i/>
          <w:iCs/>
          <w:color w:val="C9A84C"/>
          <w:sz w:val="22"/>
          <w:szCs w:val="22"/>
        </w:rPr>
        <w:t xml:space="preserve">Let's talk.</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Calibri" w:cs="Calibri" w:eastAsia="Calibri" w:hAnsi="Calibri"/>
        <w:i/>
        <w:iCs/>
        <w:color w:val="64748B"/>
        <w:sz w:val="16"/>
        <w:szCs w:val="16"/>
      </w:rPr>
      <w:t xml:space="preserve">Abid Mirza · Founder, BFC · CONFIDENTIAL</w:t>
    </w:r>
    <w:r>
      <w:rPr>
        <w:rFonts w:ascii="Calibri" w:cs="Calibri" w:eastAsia="Calibri" w:hAnsi="Calibri"/>
        <w:color w:val="64748B"/>
        <w:sz w:val="16"/>
        <w:szCs w:val="16"/>
      </w:rPr>
      <w:t xml:space="preserve">	Page </w:t>
    </w:r>
    <w:r>
      <w:rPr>
        <w:rFonts w:ascii="Calibri" w:cs="Calibri" w:eastAsia="Calibri" w:hAnsi="Calibri"/>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6" w:space="4"/>
      </w:pBdr>
      <w:tabs>
        <w:tab w:val="right" w:pos="10080"/>
      </w:tabs>
    </w:pPr>
    <w:r>
      <w:rPr>
        <w:rFonts w:ascii="Arial" w:cs="Arial" w:eastAsia="Arial" w:hAnsi="Arial"/>
        <w:b/>
        <w:bCs/>
        <w:color w:val="0F2540"/>
        <w:sz w:val="18"/>
        <w:szCs w:val="18"/>
      </w:rPr>
      <w:t xml:space="preserve">BFC · PropPlatform</w:t>
    </w:r>
    <w:r>
      <w:rPr>
        <w:rFonts w:ascii="Calibri" w:cs="Calibri" w:eastAsia="Calibri" w:hAnsi="Calibri"/>
        <w:color w:val="64748B"/>
        <w:sz w:val="18"/>
        <w:szCs w:val="18"/>
      </w:rPr>
      <w:t xml:space="preserve">	Executive Summary · v2.0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Georgia" w:cs="Georgia" w:eastAsia="Georgia" w:hAnsi="Georgia"/>
      <w:b/>
      <w:bCs/>
      <w:color w:val="0F2540"/>
      <w:sz w:val="36"/>
      <w:szCs w:val="36"/>
    </w:rPr>
  </w:style>
  <w:style w:type="paragraph" w:styleId="Heading2">
    <w:name w:val="Heading 2"/>
    <w:basedOn w:val="Normal"/>
    <w:next w:val="Normal"/>
    <w:qFormat/>
    <w:pPr>
      <w:spacing w:after="100" w:before="200"/>
      <w:outlineLvl w:val="1"/>
    </w:pPr>
    <w:rPr>
      <w:rFonts w:ascii="Georgia" w:cs="Georgia" w:eastAsia="Georgia" w:hAnsi="Georgia"/>
      <w:b/>
      <w:bCs/>
      <w:color w:val="0F254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PropPlatform — Executive Summary</dc:title>
  <dc:creator>Abid Mirza, BFC</dc:creator>
  <dc:description>Configurable property industry platform. Broker first, segment-by-segment expansion.</dc:description>
  <cp:lastModifiedBy>Un-named</cp:lastModifiedBy>
  <cp:revision>1</cp:revision>
  <dcterms:created xsi:type="dcterms:W3CDTF">2026-05-04T10:13:52.180Z</dcterms:created>
  <dcterms:modified xsi:type="dcterms:W3CDTF">2026-05-04T10:13:52.180Z</dcterms:modified>
</cp:coreProperties>
</file>

<file path=docProps/custom.xml><?xml version="1.0" encoding="utf-8"?>
<Properties xmlns="http://schemas.openxmlformats.org/officeDocument/2006/custom-properties" xmlns:vt="http://schemas.openxmlformats.org/officeDocument/2006/docPropsVTypes"/>
</file>