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1A365D"/>
          <w:sz w:val="40"/>
        </w:rPr>
        <w:t>Central Tendency Analysis Report</w:t>
      </w:r>
    </w:p>
    <w:p>
      <w:r>
        <w:rPr>
          <w:rFonts w:ascii="Calibri" w:hAnsi="Calibri"/>
          <w:sz w:val="22"/>
        </w:rPr>
        <w:t>This assignment report summarizes the measures of central tendency (Mean, Median, and Mode) for academic percentages across secondary, higher secondary, graduation, employability test, MBA grades, and candidate salary outcomes.</w:t>
      </w:r>
    </w:p>
    <w:p>
      <w:pPr>
        <w:spacing w:before="280" w:after="120"/>
      </w:pPr>
      <w:r>
        <w:rPr>
          <w:rFonts w:ascii="Calibri" w:hAnsi="Calibri"/>
          <w:b/>
          <w:color w:val="2B6CB0"/>
          <w:sz w:val="28"/>
        </w:rPr>
        <w:t>Central Tendency Data Table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00" w:type="dxa"/>
          <w:bottom w:w="100" w:type="dxa"/>
          <w:left w:w="150" w:type="dxa"/>
          <w:right w:w="150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A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234"/>
            <w:shd w:fill="1A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ssc_p (10th %)</w:t>
            </w:r>
          </w:p>
        </w:tc>
        <w:tc>
          <w:tcPr>
            <w:tcW w:type="dxa" w:w="1234"/>
            <w:shd w:fill="1A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hsc_p (12th %)</w:t>
            </w:r>
          </w:p>
        </w:tc>
        <w:tc>
          <w:tcPr>
            <w:tcW w:type="dxa" w:w="1234"/>
            <w:shd w:fill="1A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degree_p (Deg %)</w:t>
            </w:r>
          </w:p>
        </w:tc>
        <w:tc>
          <w:tcPr>
            <w:tcW w:type="dxa" w:w="1234"/>
            <w:shd w:fill="1A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etest_p (Test %)</w:t>
            </w:r>
          </w:p>
        </w:tc>
        <w:tc>
          <w:tcPr>
            <w:tcW w:type="dxa" w:w="1234"/>
            <w:shd w:fill="1A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mba_p (MBA %)</w:t>
            </w:r>
          </w:p>
        </w:tc>
        <w:tc>
          <w:tcPr>
            <w:tcW w:type="dxa" w:w="1234"/>
            <w:shd w:fill="1A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salary (Salary)</w:t>
            </w:r>
          </w:p>
        </w:tc>
      </w:tr>
      <w:tr>
        <w:tc>
          <w:tcPr>
            <w:tcW w:type="dxa" w:w="1234"/>
            <w:shd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11111"/>
                <w:sz w:val="20"/>
              </w:rPr>
              <w:t>Mean</w:t>
            </w:r>
          </w:p>
        </w:tc>
        <w:tc>
          <w:tcPr>
            <w:tcW w:type="dxa" w:w="1234"/>
            <w:shd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67.30</w:t>
            </w:r>
          </w:p>
        </w:tc>
        <w:tc>
          <w:tcPr>
            <w:tcW w:type="dxa" w:w="1234"/>
            <w:shd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66.33</w:t>
            </w:r>
          </w:p>
        </w:tc>
        <w:tc>
          <w:tcPr>
            <w:tcW w:type="dxa" w:w="1234"/>
            <w:shd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66.36</w:t>
            </w:r>
          </w:p>
        </w:tc>
        <w:tc>
          <w:tcPr>
            <w:tcW w:type="dxa" w:w="1234"/>
            <w:shd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72.10</w:t>
            </w:r>
          </w:p>
        </w:tc>
        <w:tc>
          <w:tcPr>
            <w:tcW w:type="dxa" w:w="1234"/>
            <w:shd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62.28</w:t>
            </w:r>
          </w:p>
        </w:tc>
        <w:tc>
          <w:tcPr>
            <w:tcW w:type="dxa" w:w="1234"/>
            <w:shd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277,648.65</w:t>
            </w:r>
          </w:p>
        </w:tc>
      </w:tr>
      <w:tr>
        <w:tc>
          <w:tcPr>
            <w:tcW w:type="dxa" w:w="1234"/>
            <w:shd w:fill="F7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11111"/>
                <w:sz w:val="20"/>
              </w:rPr>
              <w:t>Median</w:t>
            </w:r>
          </w:p>
        </w:tc>
        <w:tc>
          <w:tcPr>
            <w:tcW w:type="dxa" w:w="1234"/>
            <w:shd w:fill="F7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67.00</w:t>
            </w:r>
          </w:p>
        </w:tc>
        <w:tc>
          <w:tcPr>
            <w:tcW w:type="dxa" w:w="1234"/>
            <w:shd w:fill="F7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65.00</w:t>
            </w:r>
          </w:p>
        </w:tc>
        <w:tc>
          <w:tcPr>
            <w:tcW w:type="dxa" w:w="1234"/>
            <w:shd w:fill="F7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66.00</w:t>
            </w:r>
          </w:p>
        </w:tc>
        <w:tc>
          <w:tcPr>
            <w:tcW w:type="dxa" w:w="1234"/>
            <w:shd w:fill="F7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71.00</w:t>
            </w:r>
          </w:p>
        </w:tc>
        <w:tc>
          <w:tcPr>
            <w:tcW w:type="dxa" w:w="1234"/>
            <w:shd w:fill="F7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62.00</w:t>
            </w:r>
          </w:p>
        </w:tc>
        <w:tc>
          <w:tcPr>
            <w:tcW w:type="dxa" w:w="1234"/>
            <w:shd w:fill="F7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265,000.00</w:t>
            </w:r>
          </w:p>
        </w:tc>
      </w:tr>
      <w:tr>
        <w:tc>
          <w:tcPr>
            <w:tcW w:type="dxa" w:w="1234"/>
            <w:shd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11111"/>
                <w:sz w:val="20"/>
              </w:rPr>
              <w:t>Mode</w:t>
            </w:r>
          </w:p>
        </w:tc>
        <w:tc>
          <w:tcPr>
            <w:tcW w:type="dxa" w:w="1234"/>
            <w:shd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62.00</w:t>
            </w:r>
          </w:p>
        </w:tc>
        <w:tc>
          <w:tcPr>
            <w:tcW w:type="dxa" w:w="1234"/>
            <w:shd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63.00</w:t>
            </w:r>
          </w:p>
        </w:tc>
        <w:tc>
          <w:tcPr>
            <w:tcW w:type="dxa" w:w="1234"/>
            <w:shd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65.00</w:t>
            </w:r>
          </w:p>
        </w:tc>
        <w:tc>
          <w:tcPr>
            <w:tcW w:type="dxa" w:w="1234"/>
            <w:shd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60.00</w:t>
            </w:r>
          </w:p>
        </w:tc>
        <w:tc>
          <w:tcPr>
            <w:tcW w:type="dxa" w:w="1234"/>
            <w:shd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56.70</w:t>
            </w:r>
          </w:p>
        </w:tc>
        <w:tc>
          <w:tcPr>
            <w:tcW w:type="dxa" w:w="1234"/>
            <w:shd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111111"/>
                <w:sz w:val="20"/>
              </w:rPr>
              <w:t>300,000.00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2B6CB0"/>
          <w:sz w:val="28"/>
        </w:rPr>
        <w:t>Key Analytical Insights</w:t>
      </w:r>
    </w:p>
    <w:p>
      <w:pPr>
        <w:pStyle w:val="ListBullet"/>
      </w:pPr>
      <w:r>
        <w:rPr>
          <w:rFonts w:ascii="Calibri" w:hAnsi="Calibri"/>
          <w:sz w:val="22"/>
        </w:rPr>
        <w:t>Academic Consistency: Student percentages across SSC (67.30%), HSC (66.33%), and Degree (66.36%) maintain a stable mean score around 66-67%, reflecting steady academic performance.</w:t>
      </w:r>
    </w:p>
    <w:p>
      <w:pPr>
        <w:pStyle w:val="ListBullet"/>
      </w:pPr>
      <w:r>
        <w:rPr>
          <w:rFonts w:ascii="Calibri" w:hAnsi="Calibri"/>
          <w:sz w:val="22"/>
        </w:rPr>
        <w:t>Employability Test Peak: Candidates scored highest on average in the employability test (Mean: 72.10%, Median: 71.00%).</w:t>
      </w:r>
    </w:p>
    <w:p>
      <w:pPr>
        <w:pStyle w:val="ListBullet"/>
      </w:pPr>
      <w:r>
        <w:rPr>
          <w:rFonts w:ascii="Calibri" w:hAnsi="Calibri"/>
          <w:sz w:val="22"/>
        </w:rPr>
        <w:t>MBA Performance: MBA percentage exhibits a slightly lower mean (62.28%) and median (62.00%) compared to undergraduate scores.</w:t>
      </w:r>
    </w:p>
    <w:p>
      <w:pPr>
        <w:pStyle w:val="ListBullet"/>
      </w:pPr>
      <w:r>
        <w:rPr>
          <w:rFonts w:ascii="Calibri" w:hAnsi="Calibri"/>
          <w:sz w:val="22"/>
        </w:rPr>
        <w:t>Salary Dynamics: The mean salary of 277,648.65 exceeds the median salary of 265,000.00, demonstrating right-skewness where higher compensation packages raise the general average. The most common salary offer (Mode) is 300,000.00.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