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1A365D"/>
          <w:sz w:val="40"/>
        </w:rPr>
        <w:t>IQR report</w:t>
      </w:r>
    </w:p>
    <w:p>
      <w:r>
        <w:rPr>
          <w:rFonts w:ascii="Calibri" w:hAnsi="Calibri"/>
          <w:sz w:val="22"/>
        </w:rPr>
        <w:t>This report presents the Interquartile Range (IQR) analysis, outlier boundaries calculated using the 1.5 x IQR rule, and lower/upper fences alongside empirical Minimum and Maximum values.</w:t>
      </w:r>
    </w:p>
    <w:p>
      <w:pPr>
        <w:spacing w:before="280" w:after="120"/>
      </w:pPr>
      <w:r>
        <w:rPr>
          <w:rFonts w:ascii="Calibri" w:hAnsi="Calibri"/>
          <w:b/>
          <w:color w:val="2B6CB0"/>
          <w:sz w:val="28"/>
        </w:rPr>
        <w:t>Interquartile Range &amp; Outlier Metrics Table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50" w:type="dxa"/>
          <w:right w:w="15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 / Variable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ssc_p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hsc_p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degree_p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etest_p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mba_p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salary</w:t>
            </w:r>
          </w:p>
        </w:tc>
      </w:tr>
      <w:tr>
        <w:tc>
          <w:tcPr>
            <w:tcW w:type="dxa" w:w="123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IQR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15.10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12.10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11.00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23.50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8.310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60,000.00</w:t>
            </w:r>
          </w:p>
        </w:tc>
      </w:tr>
      <w:tr>
        <w:tc>
          <w:tcPr>
            <w:tcW w:type="dxa" w:w="1234"/>
            <w:shd w:fill="F7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1.5Rule (1.5 x IQR)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22.65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18.15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16.50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35.25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12.465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90,000.00</w:t>
            </w:r>
          </w:p>
        </w:tc>
      </w:tr>
      <w:tr>
        <w:tc>
          <w:tcPr>
            <w:tcW w:type="dxa" w:w="123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Lesser (Lower Fence)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37.95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42.75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44.50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24.75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45.480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150,000.00</w:t>
            </w:r>
          </w:p>
        </w:tc>
      </w:tr>
      <w:tr>
        <w:tc>
          <w:tcPr>
            <w:tcW w:type="dxa" w:w="1234"/>
            <w:shd w:fill="F7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Greater (Upper Fence)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98.35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91.15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88.50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118.75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78.720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390,000.00</w:t>
            </w:r>
          </w:p>
        </w:tc>
      </w:tr>
      <w:tr>
        <w:tc>
          <w:tcPr>
            <w:tcW w:type="dxa" w:w="123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Min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40.89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42.75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50.00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50.00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51.210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200,000.00</w:t>
            </w:r>
          </w:p>
        </w:tc>
      </w:tr>
      <w:tr>
        <w:tc>
          <w:tcPr>
            <w:tcW w:type="dxa" w:w="1234"/>
            <w:shd w:fill="F7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Max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89.40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91.15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88.50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98.00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77.890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390,000.00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2B6CB0"/>
          <w:sz w:val="28"/>
        </w:rPr>
        <w:t>Outlier &amp; Dispersion Interpretation</w:t>
      </w:r>
    </w:p>
    <w:p>
      <w:pPr>
        <w:pStyle w:val="ListBullet"/>
      </w:pPr>
      <w:r>
        <w:rPr>
          <w:rFonts w:ascii="Calibri" w:hAnsi="Calibri"/>
          <w:sz w:val="22"/>
        </w:rPr>
        <w:t>Spread Assessment (IQR): MBA scores have the narrowest central dispersion (IQR = 8.31), indicating high consistency. Employability test scores show the widest dispersion (IQR = 23.50).</w:t>
      </w:r>
    </w:p>
    <w:p>
      <w:pPr>
        <w:pStyle w:val="ListBullet"/>
      </w:pPr>
      <w:r>
        <w:rPr>
          <w:rFonts w:ascii="Calibri" w:hAnsi="Calibri"/>
          <w:sz w:val="22"/>
        </w:rPr>
        <w:t>Lower Fence Evaluation: All empirical minimum values (e.g., ssc_p min 40.89, salary min 200,000) reside safely above or at their respective lower fences (Lesser threshold), confirming an absence of extreme lower outliers.</w:t>
      </w:r>
    </w:p>
    <w:p>
      <w:pPr>
        <w:pStyle w:val="ListBullet"/>
      </w:pPr>
      <w:r>
        <w:rPr>
          <w:rFonts w:ascii="Calibri" w:hAnsi="Calibri"/>
          <w:sz w:val="22"/>
        </w:rPr>
        <w:t>Upper Fence Adjustments: Upper fences (Greater) set limits such as 91.15% for HSC, 88.50% for Degree, and 390,000 for Salary, perfectly matching the capped Max bounds.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