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A365D"/>
          <w:sz w:val="40"/>
        </w:rPr>
        <w:t>Percentile Analysis Report</w:t>
      </w:r>
    </w:p>
    <w:p>
      <w:r>
        <w:rPr>
          <w:rFonts w:ascii="Calibri" w:hAnsi="Calibri"/>
          <w:sz w:val="22"/>
        </w:rPr>
        <w:t>This report evaluates the percentile distributions (Q1: 25%, Q2: 50%, Q3: 75%, and Q4: 100%) across student academic performance metrics and salary values.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Percentile Breakdown Table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Percentile Metric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ssc_p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hsc_p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degree_p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etest_p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mba_p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salary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Q1 (25th Percentile)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60.60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60.90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61.00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60.00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57.945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240,000.00</w:t>
            </w:r>
          </w:p>
        </w:tc>
      </w:tr>
      <w:tr>
        <w:tc>
          <w:tcPr>
            <w:tcW w:type="dxa" w:w="1234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Q2 (50th Percentile / Median)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67.00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65.00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71.00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62.000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265,000.00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Q3 (75th Percentile)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75.70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73.00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72.00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83.50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66.255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300,000.00</w:t>
            </w:r>
          </w:p>
        </w:tc>
      </w:tr>
      <w:tr>
        <w:tc>
          <w:tcPr>
            <w:tcW w:type="dxa" w:w="1234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Q4 (100th Percentile / Max)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89.40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91.15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88.50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98.00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77.890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390,000.00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Percentile Observations</w:t>
      </w:r>
    </w:p>
    <w:p>
      <w:pPr>
        <w:pStyle w:val="ListBullet"/>
      </w:pPr>
      <w:r>
        <w:rPr>
          <w:rFonts w:ascii="Calibri" w:hAnsi="Calibri"/>
          <w:sz w:val="22"/>
        </w:rPr>
        <w:t>Lower Quartile (Q1 - 25%): 25% of students scored at or below 60.60% in 10th grade, 60.90% in 12th grade, 61.00% in Degree, 60.00% in Employability test, and 57.95% in MBA. Minimum salary benchmark for 25% of students was 240,000.</w:t>
      </w:r>
    </w:p>
    <w:p>
      <w:pPr>
        <w:pStyle w:val="ListBullet"/>
      </w:pPr>
      <w:r>
        <w:rPr>
          <w:rFonts w:ascii="Calibri" w:hAnsi="Calibri"/>
          <w:sz w:val="22"/>
        </w:rPr>
        <w:t>Median (Q2 - 50%): 50% of the candidate cohort earned up to 67.00% in SSC, 65.00% in HSC, 66.00% in Degree, and a salary of 265,000.</w:t>
      </w:r>
    </w:p>
    <w:p>
      <w:pPr>
        <w:pStyle w:val="ListBullet"/>
      </w:pPr>
      <w:r>
        <w:rPr>
          <w:rFonts w:ascii="Calibri" w:hAnsi="Calibri"/>
          <w:sz w:val="22"/>
        </w:rPr>
        <w:t>Upper Quartile (Q3 - 75%): 75% of candidates scored up to 75.70% in SSC, 73.00% in HSC, 72.00% in Degree, 83.50% in Test score, and received salaries up to 300,000.</w:t>
      </w:r>
    </w:p>
    <w:p>
      <w:pPr>
        <w:pStyle w:val="ListBullet"/>
      </w:pPr>
      <w:r>
        <w:rPr>
          <w:rFonts w:ascii="Calibri" w:hAnsi="Calibri"/>
          <w:sz w:val="22"/>
        </w:rPr>
        <w:t>Maximum Boundary (Q4 - 100%): The maximum values after fence adjustments reach 89.40% in SSC, 91.15% in HSC, 88.50% in Degree, 98.00% in Test, 77.89% in MBA, and 390,000 in salary.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