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1A365D"/>
          <w:sz w:val="40"/>
        </w:rPr>
        <w:t>Skewness and Kurtosis Analysis Report</w:t>
      </w:r>
    </w:p>
    <w:p>
      <w:r>
        <w:rPr>
          <w:rFonts w:ascii="Calibri" w:hAnsi="Calibri"/>
          <w:sz w:val="22"/>
        </w:rPr>
        <w:t>This report examines the shape parameters of the distribution, specifically Skewness (asymmetry) and Kurtosis (peakedness/tailedness), across academic percentages and salary data.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Skewness and Kurtosis Summary Table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50" w:type="dxa"/>
          <w:right w:w="15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 Variable</w:t>
            </w:r>
          </w:p>
        </w:tc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</w:t>
            </w:r>
          </w:p>
        </w:tc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Skewness</w:t>
            </w:r>
          </w:p>
        </w:tc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Kurtosis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ssc_p (10th %)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67.30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67.00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62.00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-0.1326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-0.6075</w:t>
            </w:r>
          </w:p>
        </w:tc>
      </w:tr>
      <w:tr>
        <w:tc>
          <w:tcPr>
            <w:tcW w:type="dxa" w:w="1440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hsc_p (12th %)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66.33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65.00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63.00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0.1626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0.0869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degree_p (Deg %)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66.36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66.00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65.00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0.2042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-0.0975</w:t>
            </w:r>
          </w:p>
        </w:tc>
      </w:tr>
      <w:tr>
        <w:tc>
          <w:tcPr>
            <w:tcW w:type="dxa" w:w="1440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etest_p (Test %)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72.10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71.00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60.00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0.2823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-1.0886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mba_p (MBA %)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62.28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62.00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56.70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0.3136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-0.4707</w:t>
            </w:r>
          </w:p>
        </w:tc>
      </w:tr>
      <w:tr>
        <w:tc>
          <w:tcPr>
            <w:tcW w:type="dxa" w:w="1440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salary (Salary)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277,648.65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265,000.00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300,000.00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0.8067</w:t>
            </w:r>
          </w:p>
        </w:tc>
        <w:tc>
          <w:tcPr>
            <w:tcW w:type="dxa" w:w="1440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-0.2398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Detailed Distributional Insights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Skewness Analysis:</w:t>
      </w:r>
    </w:p>
    <w:p>
      <w:pPr>
        <w:pStyle w:val="ListBullet"/>
      </w:pPr>
      <w:r>
        <w:rPr>
          <w:rFonts w:ascii="Calibri" w:hAnsi="Calibri"/>
          <w:sz w:val="22"/>
        </w:rPr>
        <w:t>Symmetrical Academic Data: All academic variables (ssc_p, hsc_p, degree_p, etest_p, mba_p) fall between -0.5 and +0.5, representing near-symmetrical, well-behaved distributions.</w:t>
      </w:r>
    </w:p>
    <w:p>
      <w:pPr>
        <w:pStyle w:val="ListBullet"/>
      </w:pPr>
      <w:r>
        <w:rPr>
          <w:rFonts w:ascii="Calibri" w:hAnsi="Calibri"/>
          <w:sz w:val="22"/>
        </w:rPr>
        <w:t>Moderately Right-Skewed Salary: Salary has a positive skewness of 0.8067, reflecting a right-tailed distribution where a smaller subset of high-earning candidates pulls the distribution to the right.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Kurtosis Analysis:</w:t>
      </w:r>
    </w:p>
    <w:p>
      <w:pPr>
        <w:pStyle w:val="ListBullet"/>
      </w:pPr>
      <w:r>
        <w:rPr>
          <w:rFonts w:ascii="Calibri" w:hAnsi="Calibri"/>
          <w:sz w:val="22"/>
        </w:rPr>
        <w:t>Platykurtic Variables: etest_p (-1.0886), ssc_p (-0.6075), mba_p (-0.4707), and salary (-0.2398) exhibit negative excess kurtosis, signifying flatter peaks with shorter/lighter tails than a normal distribution.</w:t>
      </w:r>
    </w:p>
    <w:p>
      <w:pPr>
        <w:pStyle w:val="ListBullet"/>
      </w:pPr>
      <w:r>
        <w:rPr>
          <w:rFonts w:ascii="Calibri" w:hAnsi="Calibri"/>
          <w:sz w:val="22"/>
        </w:rPr>
        <w:t>Mesokurtic Variable: hsc_p (0.0869) and degree_p (-0.0975) closely approximate zero excess kurtosis, matching standard normal curve tail characteristics.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