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3894" w14:textId="649A87A9" w:rsidR="004B68C9" w:rsidRDefault="004B68C9" w:rsidP="004B68C9">
      <w:pPr>
        <w:jc w:val="center"/>
        <w:rPr>
          <w:rFonts w:ascii="Times New Roman" w:hAnsi="Times New Roman" w:cs="Times New Roman"/>
          <w:b/>
          <w:bCs/>
        </w:rPr>
      </w:pPr>
      <w:r w:rsidRPr="004B68C9">
        <w:rPr>
          <w:rFonts w:ascii="Times New Roman" w:hAnsi="Times New Roman" w:cs="Times New Roman"/>
          <w:b/>
          <w:bCs/>
        </w:rPr>
        <w:t>Social Media Engagement Analytics</w:t>
      </w:r>
    </w:p>
    <w:p w14:paraId="6B8CE1EC" w14:textId="20BA3147" w:rsidR="004B68C9" w:rsidRPr="004B68C9" w:rsidRDefault="004B68C9" w:rsidP="004B68C9">
      <w:pPr>
        <w:spacing w:after="0"/>
        <w:rPr>
          <w:rFonts w:ascii="Times New Roman" w:hAnsi="Times New Roman" w:cs="Times New Roman"/>
          <w:b/>
          <w:bCs/>
        </w:rPr>
      </w:pPr>
      <w:r w:rsidRPr="004B68C9">
        <w:rPr>
          <w:rFonts w:ascii="Times New Roman" w:hAnsi="Times New Roman" w:cs="Times New Roman"/>
          <w:b/>
          <w:bCs/>
        </w:rPr>
        <w:t>Reporting &amp; Insights Summary</w:t>
      </w:r>
    </w:p>
    <w:p w14:paraId="16C41492" w14:textId="77777777" w:rsidR="004B68C9" w:rsidRPr="004B68C9" w:rsidRDefault="004B68C9" w:rsidP="004B68C9">
      <w:pPr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This project analyzed social media engagement data to identify trends, audience behavior, and content performance patterns using exploratory data analysis and visualization techniques.</w:t>
      </w:r>
    </w:p>
    <w:p w14:paraId="7B55E600" w14:textId="77777777" w:rsidR="004B68C9" w:rsidRPr="004B68C9" w:rsidRDefault="004B68C9" w:rsidP="004B68C9">
      <w:pPr>
        <w:spacing w:after="0"/>
        <w:rPr>
          <w:rFonts w:ascii="Times New Roman" w:hAnsi="Times New Roman" w:cs="Times New Roman"/>
          <w:b/>
          <w:bCs/>
        </w:rPr>
      </w:pPr>
      <w:r w:rsidRPr="004B68C9">
        <w:rPr>
          <w:rFonts w:ascii="Times New Roman" w:hAnsi="Times New Roman" w:cs="Times New Roman"/>
          <w:b/>
          <w:bCs/>
        </w:rPr>
        <w:t>Key Findings</w:t>
      </w:r>
    </w:p>
    <w:p w14:paraId="29657A59" w14:textId="77777777" w:rsidR="004B68C9" w:rsidRPr="004B68C9" w:rsidRDefault="004B68C9" w:rsidP="004B68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Image posts achieved the highest average engagement rate, while reels showed slightly lower engagement compared to other post types.</w:t>
      </w:r>
    </w:p>
    <w:p w14:paraId="351374FC" w14:textId="77777777" w:rsidR="004B68C9" w:rsidRPr="004B68C9" w:rsidRDefault="004B68C9" w:rsidP="004B68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Education and Music categories were the best-performing content categories in terms of audience interaction and engagement scores.</w:t>
      </w:r>
    </w:p>
    <w:p w14:paraId="467BBA6B" w14:textId="77777777" w:rsidR="004B68C9" w:rsidRPr="004B68C9" w:rsidRDefault="004B68C9" w:rsidP="004B68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Germany and Australia recorded the highest average engagement rates among all countries analyzed.</w:t>
      </w:r>
    </w:p>
    <w:p w14:paraId="13AB70AB" w14:textId="77777777" w:rsidR="004B68C9" w:rsidRPr="004B68C9" w:rsidRDefault="004B68C9" w:rsidP="004B68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Mobile users had the highest watch time, indicating that most content consumption occurs on mobile devices.</w:t>
      </w:r>
    </w:p>
    <w:p w14:paraId="330E02C6" w14:textId="77777777" w:rsidR="004B68C9" w:rsidRPr="004B68C9" w:rsidRDefault="004B68C9" w:rsidP="004B68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Non-verified accounts generated higher engagement rates than verified accounts, suggesting that audience interaction depends more on content relevance and activity than account verification.</w:t>
      </w:r>
    </w:p>
    <w:p w14:paraId="3B8D37AD" w14:textId="77777777" w:rsidR="004B68C9" w:rsidRPr="004B68C9" w:rsidRDefault="004B68C9" w:rsidP="004B6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Negative sentiment posts produced the highest engagement scores, showing that emotionally driven content attracts stronger audience reactions.</w:t>
      </w:r>
    </w:p>
    <w:p w14:paraId="339DC835" w14:textId="77777777" w:rsidR="004B68C9" w:rsidRPr="004B68C9" w:rsidRDefault="004B68C9" w:rsidP="004B68C9">
      <w:pPr>
        <w:spacing w:after="0"/>
        <w:rPr>
          <w:rFonts w:ascii="Times New Roman" w:hAnsi="Times New Roman" w:cs="Times New Roman"/>
          <w:b/>
          <w:bCs/>
        </w:rPr>
      </w:pPr>
      <w:r w:rsidRPr="004B68C9">
        <w:rPr>
          <w:rFonts w:ascii="Times New Roman" w:hAnsi="Times New Roman" w:cs="Times New Roman"/>
          <w:b/>
          <w:bCs/>
        </w:rPr>
        <w:t>Trends and Patterns</w:t>
      </w:r>
    </w:p>
    <w:p w14:paraId="4716635C" w14:textId="77777777" w:rsidR="004B68C9" w:rsidRPr="004B68C9" w:rsidRDefault="004B68C9" w:rsidP="004B68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Engagement rates remained relatively stable across most age groups, though users aged 17 and 33 showed slightly higher interaction levels.</w:t>
      </w:r>
    </w:p>
    <w:p w14:paraId="40EE8C8D" w14:textId="77777777" w:rsidR="004B68C9" w:rsidRPr="004B68C9" w:rsidRDefault="004B68C9" w:rsidP="004B68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Tuesdays and weekends recorded the highest impression counts, indicating these periods are more effective for content visibility and reach.</w:t>
      </w:r>
    </w:p>
    <w:p w14:paraId="1A92C5AE" w14:textId="77777777" w:rsidR="004B68C9" w:rsidRPr="004B68C9" w:rsidRDefault="004B68C9" w:rsidP="004B68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Negative sentiment content received more likes and shares, while neutral posts generated slightly more comments, reflecting different audience interaction behaviors.</w:t>
      </w:r>
    </w:p>
    <w:p w14:paraId="0BB6707E" w14:textId="77777777" w:rsidR="004B68C9" w:rsidRPr="004B68C9" w:rsidRDefault="004B68C9" w:rsidP="004B68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Watch time differences across devices were minimal, but mobile consistently performed slightly better than desktop and tablet platforms.</w:t>
      </w:r>
    </w:p>
    <w:p w14:paraId="710641CD" w14:textId="77777777" w:rsidR="004B68C9" w:rsidRPr="004B68C9" w:rsidRDefault="004B68C9" w:rsidP="004B68C9">
      <w:pPr>
        <w:spacing w:after="0"/>
        <w:rPr>
          <w:rFonts w:ascii="Times New Roman" w:hAnsi="Times New Roman" w:cs="Times New Roman"/>
          <w:b/>
          <w:bCs/>
        </w:rPr>
      </w:pPr>
      <w:r w:rsidRPr="004B68C9">
        <w:rPr>
          <w:rFonts w:ascii="Times New Roman" w:hAnsi="Times New Roman" w:cs="Times New Roman"/>
          <w:b/>
          <w:bCs/>
        </w:rPr>
        <w:t>Meaningful Insights</w:t>
      </w:r>
    </w:p>
    <w:p w14:paraId="18173FE0" w14:textId="77777777" w:rsidR="004B68C9" w:rsidRPr="004B68C9" w:rsidRDefault="004B68C9" w:rsidP="004B68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Content category and sentiment significantly influence audience engagement and sharing behavior.</w:t>
      </w:r>
    </w:p>
    <w:p w14:paraId="4EFA2527" w14:textId="77777777" w:rsidR="004B68C9" w:rsidRPr="004B68C9" w:rsidRDefault="004B68C9" w:rsidP="004B68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Posting strategy should focus on high-performing days and mobile-friendly content formats to maximize reach and watch time.</w:t>
      </w:r>
    </w:p>
    <w:p w14:paraId="6D702C85" w14:textId="77777777" w:rsidR="004B68C9" w:rsidRPr="004B68C9" w:rsidRDefault="004B68C9" w:rsidP="004B68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Emotional and discussion-oriented content tends to drive stronger engagement than neutral content.</w:t>
      </w:r>
    </w:p>
    <w:p w14:paraId="0368E4FA" w14:textId="77777777" w:rsidR="004B68C9" w:rsidRPr="004B68C9" w:rsidRDefault="004B68C9" w:rsidP="004B68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68C9">
        <w:rPr>
          <w:rFonts w:ascii="Times New Roman" w:hAnsi="Times New Roman" w:cs="Times New Roman"/>
        </w:rPr>
        <w:t>Since engagement differences across post types were relatively small, factors such as timing, audience targeting, and content quality may have a greater impact on performance.</w:t>
      </w:r>
    </w:p>
    <w:p w14:paraId="695A1A62" w14:textId="63167ECA" w:rsidR="007A33C2" w:rsidRPr="004B68C9" w:rsidRDefault="007A33C2" w:rsidP="004B68C9">
      <w:pPr>
        <w:spacing w:after="0"/>
        <w:rPr>
          <w:rFonts w:ascii="Times New Roman" w:hAnsi="Times New Roman" w:cs="Times New Roman"/>
        </w:rPr>
      </w:pPr>
    </w:p>
    <w:sectPr w:rsidR="007A33C2" w:rsidRPr="004B68C9" w:rsidSect="004B68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24E4"/>
    <w:multiLevelType w:val="multilevel"/>
    <w:tmpl w:val="048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A1FA3"/>
    <w:multiLevelType w:val="multilevel"/>
    <w:tmpl w:val="DA8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A321E"/>
    <w:multiLevelType w:val="multilevel"/>
    <w:tmpl w:val="B96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18293">
    <w:abstractNumId w:val="1"/>
  </w:num>
  <w:num w:numId="2" w16cid:durableId="1284657425">
    <w:abstractNumId w:val="2"/>
  </w:num>
  <w:num w:numId="3" w16cid:durableId="87539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C9"/>
    <w:rsid w:val="004B68C9"/>
    <w:rsid w:val="005A2CC2"/>
    <w:rsid w:val="00614989"/>
    <w:rsid w:val="007A33C2"/>
    <w:rsid w:val="009C7631"/>
    <w:rsid w:val="00E4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F768"/>
  <w15:chartTrackingRefBased/>
  <w15:docId w15:val="{519CFCA7-67BE-4D9F-AEA7-5BAAEC31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SIVAPRAKASAM</dc:creator>
  <cp:keywords/>
  <dc:description/>
  <cp:lastModifiedBy>MAHALAKSHMI SIVAPRAKASAM</cp:lastModifiedBy>
  <cp:revision>2</cp:revision>
  <dcterms:created xsi:type="dcterms:W3CDTF">2026-05-19T17:00:00Z</dcterms:created>
  <dcterms:modified xsi:type="dcterms:W3CDTF">2026-05-19T17:04:00Z</dcterms:modified>
</cp:coreProperties>
</file>