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Mahabub Alam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r>
        <w:rPr>
          <w:sz w:val="24"/>
          <w:szCs w:val="24"/>
        </w:rPr>
        <w:t xml:space="preserve">Subir Sarker Saurav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r>
        <w:rPr>
          <w:b/>
          <w:bCs/>
          <w:sz w:val="24"/>
          <w:szCs w:val="24"/>
        </w:rPr>
        <w:t>Kazi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D90561">
      <w:pPr>
        <w:jc w:val="center"/>
        <w:rPr>
          <w:sz w:val="24"/>
          <w:szCs w:val="24"/>
        </w:rPr>
      </w:pPr>
      <w:r>
        <w:rPr>
          <w:b/>
          <w:bCs/>
          <w:sz w:val="24"/>
          <w:szCs w:val="24"/>
        </w:rPr>
        <w:t>July ,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b/>
          <w:bCs/>
          <w:smallCaps/>
          <w:sz w:val="28"/>
          <w:szCs w:val="28"/>
        </w:rPr>
        <w:lastRenderedPageBreak/>
        <w:t>TABLE OF CONTENTS</w:t>
      </w:r>
    </w:p>
    <w:p w:rsidR="006D5227" w:rsidRDefault="00D90561" w:rsidP="00D90561">
      <w:pPr>
        <w:tabs>
          <w:tab w:val="right" w:pos="8666"/>
        </w:tabs>
        <w:spacing w:after="180"/>
        <w:rPr>
          <w:sz w:val="24"/>
          <w:szCs w:val="24"/>
        </w:rPr>
      </w:pPr>
      <w:r>
        <w:rPr>
          <w:b/>
          <w:bCs/>
          <w:sz w:val="24"/>
          <w:szCs w:val="24"/>
        </w:rPr>
        <w:t>Table of Contents</w:t>
      </w:r>
      <w:r>
        <w:rPr>
          <w:sz w:val="24"/>
          <w:szCs w:val="24"/>
        </w:rPr>
        <w:tab/>
        <w:t xml:space="preserve">        </w:t>
      </w:r>
      <w:r>
        <w:rPr>
          <w:b/>
          <w:bCs/>
          <w:sz w:val="24"/>
          <w:szCs w:val="24"/>
        </w:rPr>
        <w:t>Page</w:t>
      </w:r>
    </w:p>
    <w:p w:rsidR="006D5227" w:rsidRDefault="00D90561">
      <w:pPr>
        <w:tabs>
          <w:tab w:val="right" w:leader="dot" w:pos="8666"/>
        </w:tabs>
        <w:spacing w:after="60"/>
        <w:rPr>
          <w:sz w:val="24"/>
          <w:szCs w:val="24"/>
        </w:rPr>
      </w:pPr>
      <w:r>
        <w:rPr>
          <w:sz w:val="24"/>
          <w:szCs w:val="24"/>
        </w:rPr>
        <w:t>Letter of Transmittal</w:t>
      </w:r>
      <w:r>
        <w:rPr>
          <w:sz w:val="24"/>
          <w:szCs w:val="24"/>
        </w:rPr>
        <w:tab/>
        <w:t>ii</w:t>
      </w:r>
    </w:p>
    <w:p w:rsidR="006D5227" w:rsidRDefault="00D90561">
      <w:pPr>
        <w:tabs>
          <w:tab w:val="right" w:leader="dot" w:pos="8666"/>
        </w:tabs>
        <w:spacing w:after="60"/>
        <w:rPr>
          <w:sz w:val="24"/>
          <w:szCs w:val="24"/>
        </w:rPr>
      </w:pPr>
      <w:r>
        <w:rPr>
          <w:sz w:val="24"/>
          <w:szCs w:val="24"/>
        </w:rPr>
        <w:t>Declaration</w:t>
      </w:r>
      <w:r>
        <w:rPr>
          <w:sz w:val="24"/>
          <w:szCs w:val="24"/>
        </w:rPr>
        <w:tab/>
        <w:t>iii</w:t>
      </w:r>
    </w:p>
    <w:p w:rsidR="006D5227" w:rsidRDefault="00D90561">
      <w:pPr>
        <w:tabs>
          <w:tab w:val="right" w:leader="dot" w:pos="8666"/>
        </w:tabs>
        <w:spacing w:after="60"/>
        <w:rPr>
          <w:sz w:val="24"/>
          <w:szCs w:val="24"/>
        </w:rPr>
      </w:pPr>
      <w:r>
        <w:rPr>
          <w:sz w:val="24"/>
          <w:szCs w:val="24"/>
        </w:rPr>
        <w:t>Certificate</w:t>
      </w:r>
      <w:r>
        <w:rPr>
          <w:sz w:val="24"/>
          <w:szCs w:val="24"/>
        </w:rPr>
        <w:tab/>
        <w:t>iv</w:t>
      </w:r>
    </w:p>
    <w:p w:rsidR="006D5227" w:rsidRDefault="00D90561">
      <w:pPr>
        <w:tabs>
          <w:tab w:val="right" w:leader="dot" w:pos="8666"/>
        </w:tabs>
        <w:spacing w:after="60"/>
        <w:rPr>
          <w:sz w:val="24"/>
          <w:szCs w:val="24"/>
        </w:rPr>
      </w:pPr>
      <w:r>
        <w:rPr>
          <w:sz w:val="24"/>
          <w:szCs w:val="24"/>
        </w:rPr>
        <w:t>Acknowledgement</w:t>
      </w:r>
      <w:r>
        <w:rPr>
          <w:sz w:val="24"/>
          <w:szCs w:val="24"/>
        </w:rPr>
        <w:tab/>
        <w:t>v</w:t>
      </w:r>
    </w:p>
    <w:p w:rsidR="006D5227" w:rsidRDefault="00D90561">
      <w:pPr>
        <w:tabs>
          <w:tab w:val="right" w:leader="dot" w:pos="8666"/>
        </w:tabs>
        <w:spacing w:after="60"/>
        <w:rPr>
          <w:sz w:val="24"/>
          <w:szCs w:val="24"/>
        </w:rPr>
      </w:pPr>
      <w:r>
        <w:rPr>
          <w:sz w:val="24"/>
          <w:szCs w:val="24"/>
        </w:rPr>
        <w:t>Abstract</w:t>
      </w:r>
      <w:r>
        <w:rPr>
          <w:sz w:val="24"/>
          <w:szCs w:val="24"/>
        </w:rPr>
        <w:tab/>
        <w:t>vi</w:t>
      </w:r>
    </w:p>
    <w:p w:rsidR="006D5227" w:rsidRDefault="00D90561">
      <w:pPr>
        <w:tabs>
          <w:tab w:val="right" w:leader="dot" w:pos="8666"/>
        </w:tabs>
        <w:spacing w:after="60"/>
        <w:rPr>
          <w:sz w:val="24"/>
          <w:szCs w:val="24"/>
        </w:rPr>
      </w:pPr>
      <w:r>
        <w:rPr>
          <w:sz w:val="24"/>
          <w:szCs w:val="24"/>
        </w:rPr>
        <w:t>Table of Contents</w:t>
      </w:r>
      <w:r>
        <w:rPr>
          <w:sz w:val="24"/>
          <w:szCs w:val="24"/>
        </w:rPr>
        <w:tab/>
        <w:t>vii</w:t>
      </w:r>
    </w:p>
    <w:p w:rsidR="006D5227" w:rsidRDefault="00D90561">
      <w:pPr>
        <w:tabs>
          <w:tab w:val="right" w:leader="dot" w:pos="8666"/>
        </w:tabs>
        <w:spacing w:after="60"/>
        <w:rPr>
          <w:sz w:val="24"/>
          <w:szCs w:val="24"/>
        </w:rPr>
      </w:pPr>
      <w:r>
        <w:rPr>
          <w:sz w:val="24"/>
          <w:szCs w:val="24"/>
        </w:rPr>
        <w:t>List of Tables</w:t>
      </w:r>
      <w:r>
        <w:rPr>
          <w:sz w:val="24"/>
          <w:szCs w:val="24"/>
        </w:rPr>
        <w:tab/>
        <w:t>ix</w:t>
      </w:r>
    </w:p>
    <w:p w:rsidR="006D5227" w:rsidRDefault="00D90561">
      <w:pPr>
        <w:tabs>
          <w:tab w:val="right" w:leader="dot" w:pos="8666"/>
        </w:tabs>
        <w:spacing w:after="60"/>
        <w:rPr>
          <w:sz w:val="24"/>
          <w:szCs w:val="24"/>
        </w:rPr>
      </w:pPr>
      <w:r>
        <w:rPr>
          <w:sz w:val="24"/>
          <w:szCs w:val="24"/>
        </w:rPr>
        <w:t>List of Figures</w:t>
      </w:r>
      <w:r>
        <w:rPr>
          <w:sz w:val="24"/>
          <w:szCs w:val="24"/>
        </w:rPr>
        <w:tab/>
        <w:t>xi</w:t>
      </w:r>
    </w:p>
    <w:p w:rsidR="006D5227" w:rsidRDefault="00D90561">
      <w:pPr>
        <w:tabs>
          <w:tab w:val="right" w:leader="dot" w:pos="8666"/>
        </w:tabs>
        <w:spacing w:after="60"/>
        <w:rPr>
          <w:sz w:val="24"/>
          <w:szCs w:val="24"/>
        </w:rPr>
      </w:pPr>
      <w:r>
        <w:rPr>
          <w:sz w:val="24"/>
          <w:szCs w:val="24"/>
        </w:rPr>
        <w:t>Abbreviations</w:t>
      </w:r>
      <w:r>
        <w:rPr>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lastRenderedPageBreak/>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5.8 Justification of XGBoost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tab/>
        <w:t>54</w:t>
      </w:r>
      <w:r>
        <w:rPr>
          <w:sz w:val="24"/>
          <w:szCs w:val="24"/>
        </w:rPr>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Distribution of the target variable Placement_Status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XGBoost + SMOTE pipeline on the held-out test set (decision threshold = 0.35)</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Age through Leadership_Experience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Academic_Performance through Interview_Score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XGBoost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Native XGBoost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SHapley Additive exPlanations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(Yorke,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reconceptualising employability as the accumulation and mobilisation of several forms of graduate capital — human, social, cultural, identity and psychological (Tomlinson, 2017). Graduate employment outcomes are further understood to be jointly determined by human capital, social capital, individual behaviours, individual attributes and perceived employability, all situated within labour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certification profile and communication ability.</w:t>
      </w:r>
    </w:p>
    <w:p w:rsidR="006D5227" w:rsidRDefault="00D90561">
      <w:pPr>
        <w:spacing w:after="200" w:line="360" w:lineRule="auto"/>
        <w:jc w:val="both"/>
      </w:pPr>
      <w:r>
        <w:rPr>
          <w:sz w:val="24"/>
          <w:szCs w:val="24"/>
        </w:rPr>
        <w:lastRenderedPageBreak/>
        <w:t>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individualised and actionable signals that students can respond to while they still have time to intervene in their own preparation.</w:t>
      </w:r>
    </w:p>
    <w:p w:rsidR="006D5227" w:rsidRDefault="00D90561">
      <w:pPr>
        <w:spacing w:after="200" w:line="360" w:lineRule="auto"/>
        <w:jc w:val="both"/>
      </w:pPr>
      <w:r>
        <w:rPr>
          <w:sz w:val="24"/>
          <w:szCs w:val="24"/>
        </w:rPr>
        <w:t>The Bangladeshi labour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labour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analysing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(Jony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programmes has expanded substantially over the last decade, but curricular revision cycles have not kept </w:t>
      </w:r>
      <w:r>
        <w:rPr>
          <w:sz w:val="24"/>
          <w:szCs w:val="24"/>
        </w:rPr>
        <w:lastRenderedPageBreak/>
        <w:t>pace with the rate at which the demanded skill set is changing (Jony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(Baffa et al., 2023; Haque et al., 2024; Mezhoudi et al., 2023). A considerable body of such work now exists for Nigeria, the Philippines, Malaysia, Egypt, Vietnam and India. Very little of it addresses Bangladesh, and none of it addresses the specific population of fresh CSE graduates entering the Bangladeshi ICT labour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(Jony et al., 2022), while its tertiary-educated population simultaneously records the highest unemployment rate of any educational stratum in the country, at 13.5 per cent (BBS, 2025). Both conditions cannot be explained by aggregate labour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(Baffa et al., 2023; Casuat &amp; Festijo, 2019; ElSharkawy et al., 2022; Haque et al., 2024; Othman et al., 2018; Vo et al., 2023), and datasets, feature sets, algorithms and evaluation protocols vary so widely across this literature that findings are not directly comparable, let alone directly portable (Mezhoudi et al., 2023). Labour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(Zulfiker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Third, prevailing modelling practice in this literature limits the practical usefulness of its outputs. Many studies optimise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rigour (Baffa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(Guo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1. RQ1. Which technical, academic, experiential and behavioural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analyse the major academic, technical, experiential, behavioural,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(Baffa et al., 2023; Casuat &amp; Festijo, 2019; ElSharkawy et al., 2022; Haque et al., 2024; Othman et al., 2018; Vo et al., 2023). Bangladeshi contributions to the adjacent educational data mining literature have addressed academic performance (Zulfiker et al., 2020) and broad career-type choice between government, private-sector and self-employment (Biswas et al., 2021), but not the employability of a discipline-specific graduate cohort. Since employability is theorised as context-dependent (Clarke, 2018; Tomlinson, 2017), a model trained on the labour market conditions, hiring conventions and curricular structures of another country cannot be assumed to generalise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(Mezhoudi et al., 2023), and employability prediction models can encode bias with material consequences for the individuals classified (Guo et al., 2020). This study accordingly adopts imbalance-aware evaluation metrics and a documented, seeded and reproducible stratified hold-out protocol, together with a model-intrinsic explainability layer; per-prediction SHAP explanation is specified in the system design but is not implemented at this stage, as reported in Section 5.9. The combination of a Bangladesh-relevant CSE dataset, a multidimensional feature set spanning technical and non-technical attributes, and an explainability layer is, to the best of the researcher’s knowledge, not present in any existing study.</w:t>
      </w:r>
    </w:p>
    <w:p w:rsidR="006D5227" w:rsidRDefault="00D90561">
      <w:pPr>
        <w:spacing w:after="200" w:line="360" w:lineRule="auto"/>
        <w:jc w:val="both"/>
      </w:pPr>
      <w:r>
        <w:rPr>
          <w:sz w:val="24"/>
          <w:szCs w:val="24"/>
        </w:rPr>
        <w:t>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characterisation of entry-level graduate readiness in the Bangladeshi market. Policymakers and sector bodies gain empirical grounding for national skills development and industry–academia collaboration programmes.</w:t>
      </w:r>
    </w:p>
    <w:p w:rsidR="006D5227" w:rsidRDefault="00D90561">
      <w:pPr>
        <w:spacing w:after="200" w:line="360" w:lineRule="auto"/>
        <w:jc w:val="both"/>
      </w:pPr>
      <w:r>
        <w:rPr>
          <w:sz w:val="24"/>
          <w:szCs w:val="24"/>
        </w:rPr>
        <w:lastRenderedPageBreak/>
        <w:t>The specific contributions claimed by this thesis are: (1) a machine learning model of fresh CSE graduate employability in Bangladesh, trained on a discipline-relevant secondary dataset — the Kaggle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programmes, and cognate programmes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labour market, with the largest concentration of both CSE programmes and ICT employers located in the Dhaka and Chattogram divisions (Jony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Kaggle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behaviour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Table 1.2 summarises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Fresh graduates (within 24 months of completion) of four-year CSE and cognate programmes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Findings framed for the Bangladeshi CSE labour market, concentrated in the Dhaka and Chattogram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Secondary dataset of 50,000 student records (Student Career Success Prediction Dataset, Kaggle)</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Six dimensions: academic performance; technical and programming proficiency; practical experience; certifications and self-directed learning; soft skills; career preparation behaviour</w:t>
            </w:r>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(Yorke,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behaviour, career identity, and labour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(Baffa et al., 2023). Decision Tree, Random Forest, and Support Vector Machine algorithms have been successfully used to model students’ employability outcomes based on training performance and grade point average (Casuat &amp; Festijo,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Machine learning applications have also been extended to broader employability contexts. Machine learning models have been shown to be effective in predicting employability at the high school level (Dubey &amp; Mani, 2019), and machine learning approaches have been proposed to analyse the factors influencing employment outcomes across different educational contexts (García-Peñalvo et al., 2018). Fairness and bias should be carefully considered when developing graduate employment prediction models (Guo et al., 2020). Moreover, a comprehensive review of employability prediction studies revealed considerable variation in datasets, machine learning algorithms, feature selection methods, and evaluation techniques, emphasising the need for context-specific predictive models tailored to specific populations, such as fresh CSE graduates in Bangladesh (Mezhoudi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Literature was retrieved from IEEE Xplore, ScienceDirect, SpringerLink, MDPI, PLOS, Scopus-indexed journals and Google Scholar using combinations of the terms “graduate employability”, “employability prediction”, “machine learning”, “educational data mining”, “campus placement”, “skills gap”, “CSE graduates” and “Bangladesh”. Studies were included where they (i) reported empirical findings on graduate employability determinants, or (ii) applied machine learning or data mining techniques to predict employment or placement outcomes for tertiary students, or (iii) provided labour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organised.</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(Yorke, 2006). The central and still-underappreciated contribution of this stage is the analytical separation of employability from employment: employability is a propensity, whereas employment is an outcome contingent on labour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labour-demand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labour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(Tomlinson, 2017). The framework’s strength lies in its explanatory power: it accounts for why graduates with equivalent academic records experience unequal outcomes. Its principal weakness is operational, because social, cultural and identity capital are theorised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The third stage relocates employability within the labour market itself. Employment outcomes are determined jointly by human capital, social capital, individual behaviours, individual attributes and perceived employability, all mediated by labour market conditions and employer recruitment practices (Clarke, 2018). This contribution is the explicit refusal of the individualisation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(Yorke,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labour demand. Roughly one in three unemployed </w:t>
      </w:r>
      <w:r>
        <w:rPr>
          <w:sz w:val="24"/>
          <w:szCs w:val="24"/>
        </w:rPr>
        <w:lastRenderedPageBreak/>
        <w:t>graduates remained without work for up to two years, a duration associated in the labour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realised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(Zulfiker et al., 2020); the target variable there is academic rather than labour market outcome, so the study addresses a different construct entirely. Neither study incorporates technical skills, portfolio evidence, certifications or internship experience, and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(Casuat &amp; Festijo,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generalises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(Baffa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scepticism: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The more recent literature has converged on ensemble methods. An optimised bagging framework, OPT-BAG, was proposed for student employability prediction and demonstrated performance improvements over individual base learners through systematic hyperparameter optimisation (Vo et al.,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(Haque et al., 2024). Stacking ensembles have been evaluated for post-internship employability prediction with repeated k-fold cross-validation, reporting approximately 91 per cent accuracy and identifying internship duration as a leading predictor (Kahlik &amp; Al-Hababi,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characterise contemporary software hiring (ElSharkawy et al., 2022).</w:t>
      </w:r>
    </w:p>
    <w:p w:rsidR="006D5227" w:rsidRDefault="00D90561">
      <w:pPr>
        <w:spacing w:after="200" w:line="360" w:lineRule="auto"/>
        <w:jc w:val="both"/>
      </w:pPr>
      <w:r>
        <w:rPr>
          <w:sz w:val="24"/>
          <w:szCs w:val="24"/>
        </w:rPr>
        <w:t>The consistent superiority of ensembles across these studies has a principled explanation. Employability data is tabular, of modest volume, mixed in type, and characterised by interactions and non-linear thresholds — a graduate benefits disproportionately from the first internship rather than the third, and technical skill interacts with communication ability rather than adding to it independently. Tree-based ensembles such as Random Forest (Breiman, 2001) and gradient boosting (Chen &amp; Guestrin,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single-classifier institutional-record studies, advanced ensemble and optimisation studies, and Bangladeshi educational data-mining studies. Studies that stand alone in their category — the conceptual framework proposal of García-Peñalvo et al. (2018), the high-accuracy but thinly-reported tree-ensemble study of Baffa et al. (2023), the fairness-focused analysis of Guo et al. (2020), and the systematic review of Mezhoudi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Casuat &amp; Festijo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B — Advanced Ensemble, Boosting and Optimisation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OPT-BAG optimised bagging ensemble</w:t>
            </w:r>
          </w:p>
        </w:tc>
        <w:tc>
          <w:tcPr>
            <w:tcW w:w="1805" w:type="dxa"/>
            <w:tcMar>
              <w:top w:w="80" w:type="dxa"/>
              <w:left w:w="100" w:type="dxa"/>
              <w:bottom w:w="80" w:type="dxa"/>
              <w:right w:w="100" w:type="dxa"/>
            </w:tcMar>
          </w:tcPr>
          <w:p w:rsidR="006D5227" w:rsidRDefault="00D90561">
            <w:r>
              <w:rPr>
                <w:sz w:val="22"/>
                <w:szCs w:val="22"/>
              </w:rPr>
              <w:t>Demonstrated gains from systematic optimisation of bagging ensembles</w:t>
            </w:r>
          </w:p>
        </w:tc>
        <w:tc>
          <w:tcPr>
            <w:tcW w:w="1807" w:type="dxa"/>
            <w:tcMar>
              <w:top w:w="80" w:type="dxa"/>
              <w:left w:w="100" w:type="dxa"/>
              <w:bottom w:w="80" w:type="dxa"/>
              <w:right w:w="100" w:type="dxa"/>
            </w:tcMar>
          </w:tcPr>
          <w:p w:rsidR="006D5227" w:rsidRDefault="00D90561">
            <w:r>
              <w:rPr>
                <w:sz w:val="22"/>
                <w:szCs w:val="22"/>
              </w:rPr>
              <w:t>Performance-focused; no explainability or fairness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lastRenderedPageBreak/>
              <w:t>Haque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Kahlik &amp; Al-Hababi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r>
              <w:rPr>
                <w:sz w:val="22"/>
                <w:szCs w:val="22"/>
              </w:rPr>
              <w:t>ElSharkawy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Academic-record orientation; limited portfolio and soft-skill features; different labour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r>
              <w:rPr>
                <w:sz w:val="22"/>
                <w:szCs w:val="22"/>
              </w:rPr>
              <w:t>Zulfiker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Predicts academic performance, not employability; no labour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 xml:space="preserve">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(Casuat &amp; Festijo,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The advanced ensemble and optimisation studies of Group B represent the current methodological frontier and are the closest precedents to the present study’s own approach. All four move beyond single classifiers to systematic ensemble design, hyperparameter tuning, or feature selection (Vo et al., 2023; Haque et al., 2024; Kahlik &amp; Al-Hababi, 2024; ElSharkawy et al., 2022), and the repeated k-fold cross-validation of Kahlik and Al-Hababi (2024) is the most rigorous validation protocol in the reviewed set. The four differ in emphasis — the ensemble architecture itself (Vo et al., 2023), feature selection as a first-order decision (Haque et al., 2024), a post-internship cohort (Kahlik &amp; Al-Hababi, 2024), and disciplinary (IT) specificity (ElSharkawy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 xml:space="preserve">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(García-Peñalvo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(Baffa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(Guo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(Mezhoudi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(Zulfiker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behavioural attributes used here; no study pairs ensemble prediction with an interpretability layer; and only the two Bangladeshi studies address the national context at all, and neither on the employability construct itself. This pattern, rather than any single study, is what Section 2.7 formalises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(Baffa et al., 2023; Casuat &amp; Festijo, 2019; ElSharkawy et al., 2022; Haque et al., 2024; Othman et al., 2018; Vo et al., 2023) but not for Bangladesh; Bangladeshi work targets academic performance (Zulfiker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(Casuat &amp; Festijo, 2019; Othman et al., 2018); those including experiential variables find them dominant (Baffa et al., 2023; Kahlik &amp; Al-Hababi, 2024)</w:t>
            </w:r>
          </w:p>
        </w:tc>
        <w:tc>
          <w:tcPr>
            <w:tcW w:w="3009" w:type="dxa"/>
            <w:tcMar>
              <w:top w:w="80" w:type="dxa"/>
              <w:left w:w="100" w:type="dxa"/>
              <w:bottom w:w="80" w:type="dxa"/>
              <w:right w:w="100" w:type="dxa"/>
            </w:tcMar>
          </w:tcPr>
          <w:p w:rsidR="006D5227" w:rsidRDefault="00D90561">
            <w:r>
              <w:rPr>
                <w:sz w:val="22"/>
                <w:szCs w:val="22"/>
              </w:rPr>
              <w:t>Employs a theory-derived feature set spanning technical skills, soft skills, academic performance, internships, portfolio evidence, certifications and job-search behaviour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(Mezhoudi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(Guo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r>
        <w:rPr>
          <w:sz w:val="24"/>
          <w:szCs w:val="24"/>
        </w:rPr>
        <w:t>Synthesising the theoretical and empirical literature, this study adopts a conceptual framework in which the employment outcome of a fresh CSE graduate is modelled as a function of six input dimensions, each grounded in the reviewed literature. Academic performance, operationalised as CGPA, corresponds to the human capital component of the graduate-capital framework and is the most frequently modelled predictor in prior work (Casuat &amp; Festijo, 2019; Othman et al., 2018; Tomlinson, 2017). Technical and programming proficiency reflects the demand-side evidence on required ICT skills in Bangladesh (Jony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behaviour and industry exposure operationalise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Labour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How the Incremental Model works :</w:t>
      </w:r>
      <w:r>
        <w:rPr>
          <w:sz w:val="24"/>
          <w:szCs w:val="24"/>
        </w:rPr>
        <w:t xml:space="preserve"> Development begins from an outline description of the system’s requirements rather than a complete, frozen specification. The requirements are then prioritised,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how the model’s outputs should best be exposed to a user. These decisions could only be made responsibly after real data had been collected, cleaned and analysed.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organised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Kaggle),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XGBoost classifier; the baseline comparison itself remains outstanding and is reported as such in Section 5.8.</w:t>
      </w:r>
    </w:p>
    <w:p w:rsidR="006D5227" w:rsidRDefault="00D90561">
      <w:pPr>
        <w:spacing w:after="200" w:line="360" w:lineRule="auto"/>
        <w:jc w:val="both"/>
      </w:pPr>
      <w:r>
        <w:rPr>
          <w:b/>
          <w:bCs/>
          <w:sz w:val="24"/>
          <w:szCs w:val="24"/>
        </w:rPr>
        <w:t>Increment 4 — Comparative model training and tuning.</w:t>
      </w:r>
      <w:r>
        <w:rPr>
          <w:sz w:val="24"/>
          <w:szCs w:val="24"/>
        </w:rPr>
        <w:t xml:space="preserve"> Decision Tree, Random Forest, Support Vector Machine and XGBoost classifiers were planned for training under a common protocol, with model selection based on F1-score and minority-class recall rather than accuracy alone. Of these, only XGBoost was trained and evaluated within the project timeframe, using a single stratified 80:20 hold-out partition with fixed hyperparameters rather than a tuned k-fold protocol. The comparative element of this increment is therefore incomplete; Section 5.8 </w:t>
      </w:r>
      <w:r>
        <w:rPr>
          <w:sz w:val="24"/>
          <w:szCs w:val="24"/>
        </w:rPr>
        <w:lastRenderedPageBreak/>
        <w:t>sets out the reasoned basis for the XGBoost selection and Section 6.3 specifies the comparison required to complete it.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operationalises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This chapter sets out the research design of the project: how the study was organised,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centre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realised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operationalises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organised,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At the centre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summarised by the right-hand path in Figure 4.1.</w:t>
      </w:r>
    </w:p>
    <w:p w:rsidR="006D5227" w:rsidRDefault="00D90561">
      <w:pPr>
        <w:keepNext/>
        <w:spacing w:before="120" w:after="120"/>
        <w:jc w:val="center"/>
      </w:pPr>
      <w:r>
        <w:rPr>
          <w:noProof/>
        </w:rPr>
        <w:lastRenderedPageBreak/>
        <w:drawing>
          <wp:inline distT="0" distB="0" distL="0" distR="0">
            <wp:extent cx="5871838" cy="661035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871838" cy="661035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Portability — at the current stage the system shall be accessible through a documented HTTP API (demonstrated in Section 5.7 using Postman); a browser-based dashboard requiring no specialised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lastRenderedPageBreak/>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analysed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in the cleaned form student_career_success_dataset_cleaned.csv.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(Kaggle)</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student_career_success_dataset_cleaned.csv</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r>
              <w:rPr>
                <w:sz w:val="22"/>
                <w:szCs w:val="22"/>
              </w:rPr>
              <w:t>Placement_Status</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r>
              <w:rPr>
                <w:sz w:val="22"/>
                <w:szCs w:val="22"/>
              </w:rPr>
              <w:t>drop_duplicates()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analysed in Section 5.4 and which directly motivates the rebalancing and threshold decisions documented in Sections 5.6 and 5.7.</w:t>
      </w:r>
    </w:p>
    <w:p w:rsidR="006D5227" w:rsidRDefault="00D90561">
      <w:pPr>
        <w:spacing w:after="200" w:line="360" w:lineRule="auto"/>
        <w:jc w:val="both"/>
      </w:pPr>
      <w:r>
        <w:rPr>
          <w:sz w:val="24"/>
          <w:szCs w:val="24"/>
        </w:rPr>
        <w:t>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test_size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figures are retained in their original colour because they are primary evidence of the data </w:t>
      </w:r>
      <w:r>
        <w:rPr>
          <w:sz w:val="24"/>
          <w:szCs w:val="24"/>
        </w:rPr>
        <w:lastRenderedPageBreak/>
        <w:t>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cx="5669280" cy="1694939">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5.1: Loaded dataset, columns Age through Leadership_Experience</w:t>
      </w:r>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cx="5669280" cy="1703721">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5.2: Loaded dataset, columns Academic_Performance through Interview_Score</w:t>
      </w:r>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University_Year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Degree programme (e.g. Computer Science, Software Engineering, Data Science, Cybersecurity, Artificial Intelligence, Information Technology, Business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Attendance_Percentage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LinkedIn_Profile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Study_Hours_Per_Week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r>
              <w:t>Academic_Performance</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r>
              <w:t>Programming_Skill</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r>
              <w:t>Projects_Completed</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r>
              <w:t>GitHub_Profile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r>
              <w:t>Leadership_Experience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Retained — behavioural attribute; rank 16 of 18</w:t>
            </w:r>
          </w:p>
        </w:tc>
      </w:tr>
      <w:tr w:rsidR="006D5227">
        <w:trPr>
          <w:cantSplit/>
        </w:trPr>
        <w:tc>
          <w:tcPr>
            <w:tcW w:w="1980" w:type="dxa"/>
            <w:tcMar>
              <w:top w:w="80" w:type="dxa"/>
              <w:left w:w="100" w:type="dxa"/>
              <w:bottom w:w="80" w:type="dxa"/>
              <w:right w:w="100" w:type="dxa"/>
            </w:tcMar>
          </w:tcPr>
          <w:p w:rsidR="006D5227" w:rsidRDefault="00D90561">
            <w:r>
              <w:t>Resume_Score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r>
              <w:t>Communication_Skills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r>
              <w:lastRenderedPageBreak/>
              <w:t>Problem_Solving</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r>
              <w:t>English_Proficiency</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r>
              <w:t>Interview_Score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r>
              <w:t>Overall_Preparedness_Index</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(Interview_Score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r>
              <w:t>Skills_per_Project</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Productivity ratio computed as Programming_Skill ÷ (Projects_Completed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r>
              <w:t>Placement_Status</w:t>
            </w:r>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six excluded attributes were removed before training as a deliberate design decision rather than as a consequence of data quality. Age, Gender, University_Year and Major are demographic or contextual descriptors over which a student has no control at the point of intervention; retaining them would allow the model to encode group membership rather than modifiable preparation behaviour, and would risk exactly the subgroup bias identified as research gap G5 in Section 2.7. Attendance_Percentage and LinkedIn_Profile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Two composite features were then constructed. Overall_Preparedness_Index combines interview performance and industry exposure into a single weighted readiness measure, with the larger weight placed on interview performance. Skills_per_Project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lastRenderedPageBreak/>
        <w:t xml:space="preserve">Note on completeness. </w:t>
      </w:r>
      <w:r>
        <w:rPr>
          <w:sz w:val="24"/>
          <w:szCs w:val="24"/>
        </w:rPr>
        <w:t>The pipeline applies drop_duplicates()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Preprocessing was carried out as specified in Increment 2 (Section 3.3) and the data-preprocessing stage of the pipeline (Section 4.2), and was implemented as a scikit-learn ColumnTransformer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Duplicate records were removed and whitespace was stripped from all string-valued columns to eliminate spurious category variants arising from inconsistent data entry. The 14 numeric features were then imputed with the training-set median and standardised with StandardScaler to zero mean and unit variance, so that attributes measured on different scales — CGPA on a four-point scale, Resume_Score on a hundred-point scale, Internships as a small count — contribute on a common footing. The 4 categorical features were imputed with the training-set mode and encoded with OneHotEncoder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outliers characteristic of count attributes such as Certifications and Hackathons, where a small number of unusually high values would pull a mean-based imputation upward and systematically overstate the preparation of students whose data is incomplete. Standardisation, </w:t>
      </w:r>
      <w:r>
        <w:rPr>
          <w:sz w:val="24"/>
          <w:szCs w:val="24"/>
        </w:rPr>
        <w:lastRenderedPageBreak/>
        <w:t>although not required by tree-based learners such as XGBoost,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Table 5.3: Distribution of the target variable Placement_Status</w:t>
      </w:r>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lastRenderedPageBreak/>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minimises its loss most efficiently by fitting the majority class well and tolerating errors on the minority. The minority class here is precisely the population the system exists to identify: graduates at risk of non-</w:t>
      </w:r>
      <w:r>
        <w:rPr>
          <w:sz w:val="24"/>
          <w:szCs w:val="24"/>
        </w:rPr>
        <w:lastRenderedPageBreak/>
        <w:t>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Two complementary corrections were therefore applied, both documented in Section 5.6. SMOTE (Chawla et al., 2002) was inserted into the pipeline to synthesise additional minority-class instances within the training folds only, and the XGBoost objective was additionally weighted through the scale_pos_weight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t>5.5 Training and Testing Strategy: The 80:20 Split</w:t>
      </w:r>
    </w:p>
    <w:p w:rsidR="006D5227" w:rsidRDefault="00D90561">
      <w:pPr>
        <w:spacing w:after="200" w:line="360" w:lineRule="auto"/>
        <w:jc w:val="both"/>
      </w:pPr>
      <w:r>
        <w:rPr>
          <w:sz w:val="24"/>
          <w:szCs w:val="24"/>
        </w:rPr>
        <w:t>The dataset was partitioned into training and testing subsets using the standard 80:20 ratio, implemented with train_test_split configured with test_size = 0.2, random_state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lastRenderedPageBreak/>
        <w:t>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criticised in Section 2.6. Third, the ratio is the convention across the employability prediction literature reviewed in Chapter 2, so results reported here remain directly comparable with that body of work.</w:t>
      </w:r>
    </w:p>
    <w:p w:rsidR="006D5227" w:rsidRDefault="00D90561">
      <w:pPr>
        <w:spacing w:after="200" w:line="360" w:lineRule="auto"/>
        <w:jc w:val="both"/>
      </w:pPr>
      <w:r>
        <w:rPr>
          <w:sz w:val="24"/>
          <w:szCs w:val="24"/>
        </w:rPr>
        <w:t>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random_state = 42 was set both for the split and for SMOTE and the XGBoost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Pr>
          <w:b/>
          <w:bCs/>
          <w:sz w:val="24"/>
          <w:szCs w:val="24"/>
        </w:rPr>
        <w:t xml:space="preserve">Note on validation strategy. </w:t>
      </w:r>
      <w:r>
        <w:rPr>
          <w:sz w:val="24"/>
          <w:szCs w:val="24"/>
        </w:rPr>
        <w:t>The executed pipeline uses a single stratified hold-out split rather than k-fold cross-validation. A single split is defensible at n = 50,000 because the evaluation sample is large enough for stable estimates, but k-fold cross-validation would provide variance estimates across folds and is recommended as an extension in Section 6.3.</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deduplicated,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scikit-learn pipeline </w:t>
      </w:r>
      <w:r>
        <w:rPr>
          <w:sz w:val="24"/>
          <w:szCs w:val="24"/>
        </w:rPr>
        <w:lastRenderedPageBreak/>
        <w:t>object comprising two steps executed in order: the ColumnTransformer preprocessing of Section 5.3 and the XGBoost classifier. An earlier configuration inserted a SMOTE oversampling step and an XGBoost scale_pos_weight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100 boosting rounds, a learning rate of 0.05, a maximum tree depth of 3, a subsample ratio of 1.0, a column-sample ratio of 0.8,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XGBoost scale_pos_weight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favour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expose the trade-off between false positives and false negatives, and the F1-score summarises that trade-off in a single balanced figure. Reporting all of them per class, together with the confusion matrix, directly addresses the evaluation weakness identified across the reviewed literature, in which studies reported headline accuracy without minority-class recall (Baffa et al., 2023; Mezhoudi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895812" cy="288607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895812" cy="2886075"/>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Table 5.5: Classification performance of the tuned XGBoost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4443575" cy="3851098"/>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443575" cy="3851098"/>
                    </a:xfrm>
                    <a:prstGeom prst="rect">
                      <a:avLst/>
                    </a:prstGeom>
                    <a:ln/>
                  </pic:spPr>
                </pic:pic>
              </a:graphicData>
            </a:graphic>
          </wp:inline>
        </w:drawing>
      </w:r>
    </w:p>
    <w:p w:rsidR="006D5227" w:rsidRDefault="00D90561">
      <w:pPr>
        <w:spacing w:after="160"/>
        <w:jc w:val="center"/>
      </w:pPr>
      <w:r>
        <w:rPr>
          <w:b/>
          <w:bCs/>
          <w:i/>
          <w:iCs/>
          <w:sz w:val="24"/>
          <w:szCs w:val="24"/>
        </w:rPr>
        <w:t>Figure 5.8: Confusion matrix for the tuned XGBoost pipeline on the held-out test set (threshold = 0.50, no SMOTE)</w:t>
      </w:r>
    </w:p>
    <w:p w:rsidR="006D5227" w:rsidRDefault="00D90561">
      <w:pPr>
        <w:keepNext/>
        <w:spacing w:after="120"/>
        <w:jc w:val="center"/>
      </w:pPr>
      <w:r>
        <w:rPr>
          <w:noProof/>
        </w:rPr>
        <w:drawing>
          <wp:inline distT="0" distB="0" distL="0" distR="0">
            <wp:extent cx="4386100" cy="365710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386100" cy="3657108"/>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These results must be read against the configuration change documented in Section 5.6.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hyperparameters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and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The mechanism behind the earlier configuration's over-correction is identifiable from the implementation itself. SMOTE rebalanced the training distribution to parity, scale_pos_weight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visualisation of the two under class imbalance, was not plotted and is recommended in Section 6.3 as a low-cost extension that would let a practitioner choose a deployment threshold other than 0.50 or 0.35 with the trade-off made explicit.</w:t>
      </w:r>
    </w:p>
    <w:p w:rsidR="006D5227" w:rsidRDefault="00D90561">
      <w:pPr>
        <w:pStyle w:val="Heading2"/>
        <w:keepNext/>
        <w:keepLines/>
        <w:spacing w:before="240" w:after="160"/>
      </w:pPr>
      <w:r>
        <w:rPr>
          <w:b/>
          <w:bCs/>
          <w:sz w:val="24"/>
          <w:szCs w:val="24"/>
        </w:rPr>
        <w:lastRenderedPageBreak/>
        <w:t>5.8 Justification of XGBoost and Comparison with Alternative Algorithms</w:t>
      </w:r>
    </w:p>
    <w:p w:rsidR="006D5227" w:rsidRDefault="00D90561">
      <w:pPr>
        <w:spacing w:after="200" w:line="360" w:lineRule="auto"/>
        <w:jc w:val="both"/>
      </w:pPr>
      <w:r>
        <w:rPr>
          <w:sz w:val="24"/>
          <w:szCs w:val="24"/>
        </w:rPr>
        <w:t>XGBoost was selected as the modelling algorithm for this study on the basis of the argument developed in Section 2.5.2 and the characteristics of the data described in Sections 5.1 to 5.4. This section sets out that justification in full, compares XGBoost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The pipeline executed for this study trains and evaluates Logistic Regression, Decision Tree, Random Forest and XGBoost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XGBoost on this dataset. XGBoost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Assumes additive, linear log-odds; cannot represent interactions between skill and experience attributes without manual specification; minority-class recall (0.358) is comparable to, not better than, XGBoost.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(max_depth=6)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Bagging reduces variance substantially; robust; provides feature importances.</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r>
              <w:rPr>
                <w:sz w:val="18"/>
                <w:szCs w:val="18"/>
              </w:rPr>
              <w:t>XGBoost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Sequential boosting corrects prior errors; captures non-linearity and interactions automatically; L1/L2 regularisation and depth limits control overfitting; native feature importances; hyperparameters cross-validated via RandomizedSearchCV;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Less directly interpretable than a single tree; sensitive to hyperparameter choice; on this dataset, tuned Logistic Regression matched or marginally exceeded it on accuracy and AUC, so the choice of XGBoost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XGBoost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Guestrin, 2016; Haque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w:t>
      </w:r>
      <w:r>
        <w:rPr>
          <w:sz w:val="24"/>
          <w:szCs w:val="24"/>
        </w:rPr>
        <w:lastRenderedPageBreak/>
        <w:t>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regularisation and overfitting control: XGBoost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analysed in Section 5.10 supplies the interpretability layer on which the study’s principal substantive finding depends.</w:t>
      </w:r>
    </w:p>
    <w:p w:rsidR="006D5227" w:rsidRDefault="00D90561">
      <w:pPr>
        <w:spacing w:after="200" w:line="360" w:lineRule="auto"/>
        <w:jc w:val="both"/>
      </w:pPr>
      <w:r>
        <w:rPr>
          <w:sz w:val="24"/>
          <w:szCs w:val="24"/>
        </w:rPr>
        <w:t>Two qualifications are necessary and are stated deliberately rather than omitted. The first is that these six properties are reasons to expect XGBoost to perform well on data of this kind; Section 5.7 confirms this only partially, since tuned Logistic Regression achieved marginally higher accuracy (0.8196 versus 0.8170) and AUC (0.8094 versus 0.8068) on this dataset, and the two most complex algorithms tested — Random Forest and XGBoost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XGBoost provides the 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t>
      </w:r>
      <w:r>
        <w:rPr>
          <w:sz w:val="24"/>
          <w:szCs w:val="24"/>
        </w:rPr>
        <w:lastRenderedPageBreak/>
        <w:t>(webview.html)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joblib as best_employability_pipeline.pkl and label_encoder.pkl respectively, so the exact fitted artefacts evaluated in Section 5.7 are those served at prediction time. Per-record predictions and predicted probabilities for the full test partition are exported as improved_placement_predictions.csv, and the headline metrics as improved_final_metrics.json.</w:t>
      </w:r>
    </w:p>
    <w:p w:rsidR="006D5227" w:rsidRDefault="00D90561">
      <w:pPr>
        <w:spacing w:after="200" w:line="360" w:lineRule="auto"/>
        <w:jc w:val="both"/>
      </w:pPr>
      <w:r>
        <w:rPr>
          <w:sz w:val="24"/>
          <w:szCs w:val="24"/>
        </w:rPr>
        <w:t>A student provides their academic, technical, experiential, certification, soft-skill and career-preparation attributes as the JSON body of an HTTP request, satisfying FR1 and FR2 (Section 4.3.2). This request is sent to the prediction endpoint; the trained XGBoost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soft_skill_rating, applications_submitted and interviews_attended, which do not </w:t>
      </w:r>
      <w:r w:rsidRPr="000D4CAF">
        <w:rPr>
          <w:iCs/>
          <w:sz w:val="24"/>
          <w:szCs w:val="24"/>
        </w:rPr>
        <w:lastRenderedPageBreak/>
        <w:t>correspond to attributes of the dataset documented in Table 5.2 — and the base_rate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bookmarkStart w:id="0" w:name="_GoBack"/>
      <w:r w:rsidRPr="000D4CAF">
        <w:rPr>
          <w:b/>
          <w:sz w:val="24"/>
        </w:rPr>
        <w:t>5.9.1 Local Web View for Interactive Predictions</w:t>
      </w:r>
    </w:p>
    <w:bookmarkEnd w:id="0"/>
    <w:p w:rsidR="006D5227" w:rsidRPr="000D4CAF" w:rsidRDefault="00D90561" w:rsidP="000D4CAF">
      <w:pPr>
        <w:keepNext/>
        <w:keepLines/>
        <w:spacing w:before="240" w:after="160" w:line="360" w:lineRule="auto"/>
        <w:jc w:val="both"/>
        <w:rPr>
          <w:sz w:val="24"/>
          <w:szCs w:val="24"/>
        </w:rPr>
      </w:pPr>
      <w:r w:rsidRPr="000D4CAF">
        <w:rPr>
          <w:sz w:val="24"/>
          <w:szCs w:val="24"/>
        </w:rPr>
        <w:t>To make the API usable without a separate HTTP client, a self-contained local web page (webview.html) was built alongside the FastAPI service. The page is opened directly in a browser from the local file system and calls the same /predict endpoint documented above — the FastAPI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Interpreting the selected model is central to this thesis, because a prediction that cannot be decomposed into its contributing factors cannot be translated into advice about what a student should do differently. Feature importance was obtained from the trained XGBoost estimator’s native feature_importances_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the total contribution of all its categories rather than appearing as several fragmentary entries. The resulting scores were then sorted in descending order. Importances are normalised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lastRenderedPageBreak/>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Figure 5.12: XGBoost feature importance across the 18 retained features, tuned configuration (normalised,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r>
              <w:t>Resume_Score</w:t>
            </w:r>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r>
              <w:t>Overall_Preparedness_Index</w:t>
            </w:r>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r>
              <w:t>Programming_Skill</w:t>
            </w:r>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r>
              <w:t>Problem_Solving</w:t>
            </w:r>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r>
              <w:t>English_Proficiency</w:t>
            </w:r>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r>
              <w:t>Projects_Completed</w:t>
            </w:r>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r>
              <w:t>Communication_Skills</w:t>
            </w:r>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r>
              <w:t>Interview_Score</w:t>
            </w:r>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t>12</w:t>
            </w:r>
          </w:p>
        </w:tc>
        <w:tc>
          <w:tcPr>
            <w:tcW w:w="2500" w:type="dxa"/>
            <w:tcMar>
              <w:top w:w="80" w:type="dxa"/>
              <w:left w:w="100" w:type="dxa"/>
              <w:bottom w:w="80" w:type="dxa"/>
              <w:right w:w="100" w:type="dxa"/>
            </w:tcMar>
          </w:tcPr>
          <w:p w:rsidR="006D5227" w:rsidRDefault="00D90561">
            <w:r>
              <w:t>Academic_Performance</w:t>
            </w:r>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r>
              <w:t>Study_Hours_Per_Week</w:t>
            </w:r>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r>
              <w:t>Leadership_Experience</w:t>
            </w:r>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Behavioural attribute</w:t>
            </w:r>
          </w:p>
        </w:tc>
      </w:tr>
      <w:tr w:rsidR="006D5227">
        <w:trPr>
          <w:cantSplit/>
        </w:trPr>
        <w:tc>
          <w:tcPr>
            <w:tcW w:w="700" w:type="dxa"/>
            <w:tcMar>
              <w:top w:w="80" w:type="dxa"/>
              <w:left w:w="100" w:type="dxa"/>
              <w:bottom w:w="80" w:type="dxa"/>
              <w:right w:w="100" w:type="dxa"/>
            </w:tcMar>
          </w:tcPr>
          <w:p w:rsidR="006D5227" w:rsidRDefault="00D90561">
            <w:r>
              <w:lastRenderedPageBreak/>
              <w:t>17</w:t>
            </w:r>
          </w:p>
        </w:tc>
        <w:tc>
          <w:tcPr>
            <w:tcW w:w="2500" w:type="dxa"/>
            <w:tcMar>
              <w:top w:w="80" w:type="dxa"/>
              <w:left w:w="100" w:type="dxa"/>
              <w:bottom w:w="80" w:type="dxa"/>
              <w:right w:w="100" w:type="dxa"/>
            </w:tcMar>
          </w:tcPr>
          <w:p w:rsidR="006D5227" w:rsidRDefault="00D90561">
            <w:r>
              <w:t>GitHub_Profile</w:t>
            </w:r>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r>
              <w:t>Skills_per_Project</w:t>
            </w:r>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Note on Table 5.7. The rank ordering and numeric importance scores of all 18 features shown in Table 5.7 were obtained directly from the trained model's feature_importances_ attribute for the tuned configuration reported in Section 5.7 (no SMOTE, threshold = 0.50, hyperparameters selected by RandomizedSearchCV), and are exact to six decimal places rather than estimated from a plot. This resolves the earlier limitation, recorded in Section 5.15, that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The interpretation results are the study's principal substantive finding, and they are unambiguous, though the ranking itself shifted under the retrained pipeline and is reported honestly rather than reconciled with the earlier draft. The four highest-priority features are Resume_Score, Overall_Preparedness_Index, Programming_Skill and Internships, together accounting for over 74.6 per cent of total decision weight; Resume_Score alone accounts for 33.3 per cent. CGPA ranks seventh of eighteen, with an importance of 0.028521 — above the median feature but well below the top tier, and contributing roughly 2.9 per cent of the model's total decision weight. Academic_Performance,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 xml:space="preserve">This ordering is consistent with the theoretical expectations developed in Chapter 2 and with the empirical findings that industrial work experience and internship exposure discriminate more strongly than grades (Baffa et al., 2023; Jackson, 2013; Kahlik &amp; Al-Hababi, 2024). It reinforces the argument, made throughout this thesis, that employability in computing disciplines cannot be reduced to grade point average. The ranking is also reasonable on its face rather than merely convenient: Resume_Score leading is expected because a resume is the aggregating artefact through which every other attribute is communicated to an employer, and its prominence signals that how competence is evidenced matters alongside the competence </w:t>
      </w:r>
      <w:r>
        <w:rPr>
          <w:sz w:val="24"/>
          <w:szCs w:val="24"/>
        </w:rPr>
        <w:lastRenderedPageBreak/>
        <w:t>itself. Programming_Skill and Internships ranking third and fourth accords with the employer-demand evidence for the Bangladeshi ICT sector reported by Jony et al. (2022).</w:t>
      </w:r>
    </w:p>
    <w:p w:rsidR="006D5227" w:rsidRDefault="00D90561">
      <w:pPr>
        <w:spacing w:after="200" w:line="360" w:lineRule="auto"/>
        <w:jc w:val="both"/>
      </w:pPr>
      <w:r>
        <w:rPr>
          <w:sz w:val="24"/>
          <w:szCs w:val="24"/>
        </w:rPr>
        <w:t>One result runs against expectation and should be acknowledged rather than smoothed over. Overall_Preparedness_Index — a fixed weighted combination of Interview_Score and Internships, both of which remain available to the model as separate attributes — ranks second, ahead of Interview_Score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hyperparameter search for the tuned model: with few splits available per tree, the model appears to favour the composite as an efficient single-split proxy for Interview_Score's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Interview_Score and Internships already provide individually, and it is flagged in Section 5.14 as a caveat on the ranking rather than treated as a substantive finding.</w:t>
      </w:r>
    </w:p>
    <w:p w:rsidR="006D5227" w:rsidRDefault="00D90561">
      <w:pPr>
        <w:spacing w:after="200" w:line="360" w:lineRule="auto"/>
        <w:jc w:val="both"/>
      </w:pPr>
      <w:r>
        <w:rPr>
          <w:sz w:val="24"/>
          <w:szCs w:val="24"/>
        </w:rPr>
        <w:t>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Overall_Preparedness_Index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lastRenderedPageBreak/>
        <w:t>5.11.1 The Z-Test</w:t>
      </w:r>
    </w:p>
    <w:p w:rsidR="006D5227" w:rsidRDefault="00D90561">
      <w:pPr>
        <w:spacing w:after="200" w:line="360" w:lineRule="auto"/>
        <w:jc w:val="both"/>
      </w:pPr>
      <w:r>
        <w:rPr>
          <w:sz w:val="24"/>
          <w:szCs w:val="24"/>
        </w:rPr>
        <w:t>The Z-test, or standard normal deviate test, assesses whether an observed sample statistic differs significantly from a hypothesised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t>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w:t>
      </w:r>
      <w:r>
        <w:rPr>
          <w:sz w:val="24"/>
          <w:szCs w:val="24"/>
        </w:rPr>
        <w:lastRenderedPageBreak/>
        <w: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r>
              <w:t>t-distribution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z = (x̄₁ − x̄₂) / √(σ₁²/n₁ + σ₂²/n₂); or the two-proportion form for binary outcomes.</w:t>
            </w:r>
          </w:p>
        </w:tc>
        <w:tc>
          <w:tcPr>
            <w:tcW w:w="3627" w:type="dxa"/>
            <w:tcMar>
              <w:top w:w="80" w:type="dxa"/>
              <w:left w:w="100" w:type="dxa"/>
              <w:bottom w:w="80" w:type="dxa"/>
              <w:right w:w="100" w:type="dxa"/>
            </w:tcMar>
          </w:tcPr>
          <w:p w:rsidR="006D5227" w:rsidRDefault="00D90561">
            <w:r>
              <w:t>t = (x̄₁ − x̄₂) / √(s₁²/n₁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Valid but not preferred. At these group sizes the t-distribution is indistinguishable from the normal, so the t-test offers no advantage while implying a small-sample framing that misdescribes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w:t>
      </w:r>
      <w:r>
        <w:rPr>
          <w:sz w:val="24"/>
          <w:szCs w:val="24"/>
        </w:rPr>
        <w:lastRenderedPageBreak/>
        <w:t>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Resume_Score, CGPA or Internships differ in mean between the employable and non-employable groups.</w:t>
      </w:r>
    </w:p>
    <w:p w:rsidR="006D5227" w:rsidRDefault="00D90561">
      <w:pPr>
        <w:spacing w:after="200" w:line="360" w:lineRule="auto"/>
        <w:jc w:val="both"/>
      </w:pPr>
      <w:r>
        <w:rPr>
          <w:sz w:val="24"/>
          <w:szCs w:val="24"/>
        </w:rPr>
        <w:t>A caution applies to any significance testing on a sample of this size, and it should be stated before any result is reported. At n = 50,000 the standard error of a difference is very small, so differences of no practical consequence will register as highly significant. Statistical 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Attendance_Percentage, which was subsequently excluded from the predictive model (Section 5.2), and does not include the two engineered composites, Overall_Preparedness_Index and Skills_per_Project, which did not yet exist at the point the test was run.</w:t>
      </w:r>
    </w:p>
    <w:p w:rsidR="006D5227" w:rsidRDefault="00D90561">
      <w:pPr>
        <w:keepNext/>
        <w:spacing w:after="120"/>
        <w:jc w:val="center"/>
      </w:pPr>
      <w:r>
        <w:rPr>
          <w:noProof/>
        </w:rPr>
        <w:lastRenderedPageBreak/>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Resume_Score (z = 47.18), Interview_Score (z = 44.69) and Internships (z = 42.42); the weakest, though still significant, are Study_Hours_Per_Week (z = 12.18) and Certifications (z = 7.25). This ordering is broadly consistent with, though not identical to, the gain-based feature-importance ranking of Section 5.10: Resume_Score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w:t>
      </w:r>
      <w:r>
        <w:rPr>
          <w:sz w:val="24"/>
          <w:szCs w:val="24"/>
        </w:rPr>
        <w:lastRenderedPageBreak/>
        <w:t>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(Baffa et al., 2023). The present study strengthens that evidence in two respects: the ranking is 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Third, the results qualify the ensemble-superiority claim of Section 2.5.2 rather than confirming it. The comparison run in Section 5.8 does not demonstrate that XGBoost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lastRenderedPageBreak/>
        <w:t>Fourth, the interpretability contribution identified as research gap G4 in Section 2.7 is partially rather than fully addressed. Global feature importance is delivered, and it yields the study’s principal finding; per-prediction attribution, which is what converts a ranking into individualised advice, is specified but not yet implemented.</w:t>
      </w:r>
    </w:p>
    <w:p w:rsidR="006D5227" w:rsidRDefault="00D90561">
      <w:pPr>
        <w:spacing w:after="200" w:line="360" w:lineRule="auto"/>
        <w:jc w:val="both"/>
      </w:pPr>
      <w:r>
        <w:rPr>
          <w:sz w:val="24"/>
          <w:szCs w:val="24"/>
        </w:rPr>
        <w:t>The practical implications follow directly. For students, the ranked determinants indicate that resume quality, programming and problem-solving ability, internship experience and recognised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would flag roughly three graduates for every one who genuinely needs support, which is tolerable for routing students to optional guidance but would not be tolerable for any allocation decision with a real cost attached. For employers and policymakers, the model offers an evidence-based rather than perception-based characterisation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determinants and their relative importance — addressed. The feature-importance analysis of Section 5.10 identifies and ranks all 18 retained technical, academic, experiential and behavioural attributes, establishing Resume_Score, Overall_Preparedness_Index, Programming_Skill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lastRenderedPageBreak/>
        <w:t>moderate degree (AUC 0.81), and a classifier can be tuned to prioritise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best algorithm under a common evaluation protocol — addressed. Logistic Regression, Decision Tree, Random Forest and XGBoost were trained and evaluated under an identical stratified 80:20 split, feature set and 0.50 decision threshold, as reported in Table 5.6. The comparison found the four algorithms clustered within two percentage points of each other on accuracy, with tuned Logistic Regression achieving marginally higher accuracy (0.8196) and AUC (0.8094) than XGBoost (0.8170, 0.8068). No single algorithm dominates on this dataset, and the answer to RQ3 is correspondingly qualified: XGBoost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The global feature ranking of Section 5.10 converts model behaviour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Subgroup performance was identified as a design goal (Table 2.2, G5) but is not addressed. The six demographic and contextual attributes that would permit a subgroup audit — including Gender, Major and University_Year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lastRenderedPageBreak/>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Six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rather than as a validated estimate of employability prediction accuracy for Bangladeshi CSE graduates.</w:t>
      </w:r>
    </w:p>
    <w:p w:rsidR="006D5227" w:rsidRDefault="00D90561">
      <w:pPr>
        <w:spacing w:after="200" w:line="360" w:lineRule="auto"/>
        <w:jc w:val="both"/>
      </w:pPr>
      <w:r>
        <w:rPr>
          <w:sz w:val="24"/>
          <w:szCs w:val="24"/>
        </w:rPr>
        <w:t>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Neither configuration is deployment-ready on its own, and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Fourth, the comparative evaluation underlying RQ3 was run only against Logistic Regression, Decision Tree and Random Forest; Support Vector Machine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Each of these limitations directly motivates a corresponding item in the future work of Chapter 6.</w:t>
      </w:r>
    </w:p>
    <w:p w:rsidR="006D5227" w:rsidRDefault="00D90561">
      <w:pPr>
        <w:pStyle w:val="Heading2"/>
        <w:keepNext/>
        <w:keepLines/>
        <w:spacing w:before="240" w:after="160"/>
      </w:pPr>
      <w:r>
        <w:rPr>
          <w:b/>
          <w:bCs/>
          <w:sz w:val="24"/>
          <w:szCs w:val="24"/>
        </w:rPr>
        <w:lastRenderedPageBreak/>
        <w:t>5.15 Validation Summary</w:t>
      </w:r>
    </w:p>
    <w:p w:rsidR="006D5227" w:rsidRDefault="00D90561">
      <w:pPr>
        <w:spacing w:after="200" w:line="360" w:lineRule="auto"/>
        <w:jc w:val="both"/>
      </w:pPr>
      <w:r>
        <w:rPr>
          <w:sz w:val="24"/>
          <w:szCs w:val="24"/>
        </w:rPr>
        <w:t>Before finalising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Not printed by the executed pipeline; to be reported before submission.</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test_size = 0.2, stratify = y, random_state = 42; 40,000 / 10,000.</w:t>
            </w:r>
          </w:p>
        </w:tc>
      </w:tr>
      <w:tr w:rsidR="006D5227">
        <w:trPr>
          <w:cantSplit/>
        </w:trPr>
        <w:tc>
          <w:tcPr>
            <w:tcW w:w="2700" w:type="dxa"/>
            <w:tcMar>
              <w:top w:w="80" w:type="dxa"/>
              <w:left w:w="100" w:type="dxa"/>
              <w:bottom w:w="80" w:type="dxa"/>
              <w:right w:w="100" w:type="dxa"/>
            </w:tcMar>
          </w:tcPr>
          <w:p w:rsidR="006D5227" w:rsidRDefault="00D90561">
            <w:r>
              <w:t>Model configuration and hyperparameters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Exact scores for all 18 features obtained from feature_importances_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Logistic Regression, Decision Tree, Random Forest and XGBoost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lastRenderedPageBreak/>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This thesis set out to develop and empirically evaluate an interpretable machine learning model of the employability of fresh Computer Science and Engineering (CSE) graduates in Bangladesh, and to identify the relative contribution of the technical, academic, experiential and behavioural factors that determine it. A dataset of 50,000 records spanning academic performance, technical skills, practical experience, certifications, soft skills and career-preparation behaviour — the Student Career Success Prediction Dataset, obtained from Kaggle — was prepared, reduced to 18 modelling features by excluding six demographic and contextual attributes and constructing two composite indicators, and partitioned by a stratified 80:20 split into 40,000 training and 10,000 testing records. An XGBoost classifier was trained within a pipeline incorporating median and modal imputation, standardisation,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The study's principal substantive finding concerns the determinants of employability. Across all 18 retained features, the model's decisions were driven predominantly by evidenced capability and career preparation: Resume_Score, Overall_Preparedness_Index, Programming_Skill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(Baffa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hyperparameter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individualise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Because the training data was drawn from the publicly available Kaggle Student Career Success Prediction Dataset rather than collected directly from Bangladeshi CSE graduates, its records are not guaranteed to reflect the Bangladeshi ICT labour market, curricular structure or student population specifically. The six employability dimensions defined in Section 1.6 are operationalised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lastRenderedPageBreak/>
        <w:t xml:space="preserve">Incomplete algorithmic comparison. </w:t>
      </w:r>
      <w:r>
        <w:rPr>
          <w:sz w:val="24"/>
          <w:szCs w:val="24"/>
        </w:rPr>
        <w:t>Only XGBoost was trained and evaluated. The selection of the algorithm is justified on established properties in Section 5.8, but no measured comparison against Logistic Regression, Decision Tree, Random Forest or Support Vector Machine has been performed on this data, so no claim of comparative superiority is made.</w:t>
      </w:r>
    </w:p>
    <w:p w:rsidR="006D5227" w:rsidRDefault="00D90561">
      <w:pPr>
        <w:spacing w:after="200" w:line="360" w:lineRule="auto"/>
        <w:jc w:val="both"/>
      </w:pPr>
      <w:r>
        <w:rPr>
          <w:b/>
          <w:bCs/>
          <w:sz w:val="24"/>
          <w:szCs w:val="24"/>
        </w:rPr>
        <w:t xml:space="preserve">Uncalibrated precision-recall trade-off. </w:t>
      </w:r>
      <w:r>
        <w:rPr>
          <w:sz w:val="24"/>
          <w:szCs w:val="24"/>
        </w:rPr>
        <w:t>Three imbalance corrections were applied simultaneously and their combined effect appears to over-correct toward the minority class, yielding 0.36 precision on flagged graduates. Because no threshold-independent measure was computed, it is not currently possible to determine how much of the observed performance reflects the model’s discrimination and how much reflects the threshold choice.</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until minority-class precision is improved, since at 0.36 precision the system is unsuitable for any decision that allocates scarce resources or carries a cost to the student.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summarises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lastRenderedPageBreak/>
        <w:t>6.3.1 Completing the Present Analysis</w:t>
      </w:r>
    </w:p>
    <w:p w:rsidR="006D5227" w:rsidRDefault="00D90561">
      <w:pPr>
        <w:spacing w:after="200" w:line="360" w:lineRule="auto"/>
        <w:jc w:val="both"/>
      </w:pPr>
      <w:r>
        <w:rPr>
          <w:sz w:val="24"/>
          <w:szCs w:val="24"/>
        </w:rPr>
        <w:t>Five tasks would close the gaps identified in Sections 5.13 and 5.15, all achievable with the dataset already in hand. First, RQ3’s comparative evaluation should be executed — Logistic Regression, Decision Tree, Random Forest and SVM trained on the identical split and metrics — so Table 5.6 can be completed and XGBoost’s selection confirmed or revised; at well under a second per run this is trivial, though SVM at n = 40,000 may need a linear kernel or subsample. Second, ROC-AUC and precision-recall curves should be plotted for every model, the latter being more informative under a 78:22 imbalance and better able to justify the 0.35 threshold. Third, the three imbalance corrections (SMOTE, scale_pos_weight, threshold tuning) should be tested separately and in combination to improve minority recall without collapsing precision below 0.36. Fourth, k-fold cross-validation should replace the single hold-out split so variance across folds can be reported. Fifth, effect sizes (Cohen’s d) should accompany the Section 5.11 Z-test results, alongside a subgroup fairness audit using the excluded demographic attributes as audit-only variables — addressing gap G5 without reintroducing demographic data into training.</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Internships recorded only as a count (0–5), with no duration, sector, role or quality information.</w:t>
            </w:r>
          </w:p>
        </w:tc>
        <w:tc>
          <w:tcPr>
            <w:tcW w:w="2300" w:type="dxa"/>
            <w:tcMar>
              <w:top w:w="80" w:type="dxa"/>
              <w:left w:w="100" w:type="dxa"/>
              <w:bottom w:w="80" w:type="dxa"/>
              <w:right w:w="100" w:type="dxa"/>
            </w:tcMar>
          </w:tcPr>
          <w:p w:rsidR="006D5227" w:rsidRDefault="00D90561">
            <w:r>
              <w:rPr>
                <w:sz w:val="18"/>
                <w:szCs w:val="18"/>
              </w:rPr>
              <w:t>Internship duration in months; host organisation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Internships rank fourth in importance, yet a one-week observership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Sharply increased resolution on the single most policy-relevant experiential variable; enables universities to advise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Certifications recorded only as a count, with no issuer, subject or recency.</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Certifications rank fifth, but a vendor cloud certification and an unaccredited online course carry very different labour-market signals.</w:t>
            </w:r>
          </w:p>
        </w:tc>
        <w:tc>
          <w:tcPr>
            <w:tcW w:w="2227" w:type="dxa"/>
            <w:tcMar>
              <w:top w:w="80" w:type="dxa"/>
              <w:left w:w="100" w:type="dxa"/>
              <w:bottom w:w="80" w:type="dxa"/>
              <w:right w:w="100" w:type="dxa"/>
            </w:tcMar>
          </w:tcPr>
          <w:p w:rsidR="006D5227" w:rsidRDefault="00D90561">
            <w:r>
              <w:rPr>
                <w:sz w:val="18"/>
                <w:szCs w:val="18"/>
              </w:rPr>
              <w:t>Allows the model to weight certifications by market value and recency,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r>
              <w:rPr>
                <w:sz w:val="18"/>
                <w:szCs w:val="18"/>
              </w:rPr>
              <w:t>Programming_Skill recorded as a single ordinal rating, with no language, framework or specialisation detail.</w:t>
            </w:r>
          </w:p>
        </w:tc>
        <w:tc>
          <w:tcPr>
            <w:tcW w:w="2300" w:type="dxa"/>
            <w:tcMar>
              <w:top w:w="80" w:type="dxa"/>
              <w:left w:w="100" w:type="dxa"/>
              <w:bottom w:w="80" w:type="dxa"/>
              <w:right w:w="100" w:type="dxa"/>
            </w:tcMar>
          </w:tcPr>
          <w:p w:rsidR="006D5227" w:rsidRDefault="00D90561">
            <w:r>
              <w:rPr>
                <w:sz w:val="18"/>
                <w:szCs w:val="18"/>
              </w:rPr>
              <w:t>Specific languages and frameworks; self-assessed and verified proficiency per technology; specialisation area.</w:t>
            </w:r>
          </w:p>
        </w:tc>
        <w:tc>
          <w:tcPr>
            <w:tcW w:w="2200" w:type="dxa"/>
            <w:tcMar>
              <w:top w:w="80" w:type="dxa"/>
              <w:left w:w="100" w:type="dxa"/>
              <w:bottom w:w="80" w:type="dxa"/>
              <w:right w:w="100" w:type="dxa"/>
            </w:tcMar>
          </w:tcPr>
          <w:p w:rsidR="006D5227" w:rsidRDefault="00D90561">
            <w:r>
              <w:rPr>
                <w:sz w:val="18"/>
                <w:szCs w:val="18"/>
              </w:rPr>
              <w:t>Jony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r>
              <w:rPr>
                <w:sz w:val="18"/>
                <w:szCs w:val="18"/>
              </w:rPr>
              <w:t>GitHub_Profile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Repository count; commit frequency; contribution recency; stars or forks; open-source participation.</w:t>
            </w:r>
          </w:p>
        </w:tc>
        <w:tc>
          <w:tcPr>
            <w:tcW w:w="2200" w:type="dxa"/>
            <w:tcMar>
              <w:top w:w="80" w:type="dxa"/>
              <w:left w:w="100" w:type="dxa"/>
              <w:bottom w:w="80" w:type="dxa"/>
              <w:right w:w="100" w:type="dxa"/>
            </w:tcMar>
          </w:tcPr>
          <w:p w:rsidR="006D5227" w:rsidRDefault="00D90561">
            <w:r>
              <w:rPr>
                <w:sz w:val="18"/>
                <w:szCs w:val="18"/>
              </w:rPr>
              <w:t>GitHub_Profile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Likely to raise the informativeness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No career preference or job-search behaviour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labour-market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Employment outcomes are jointly determined by graduate attributes and labour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Structured assessor ratings; standardised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Beyond collection, external validation should train on one dataset and test on an independently collected one — for instance the present Kaggle data against a Bangladeshi sample — a stronger test of generalisation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Kahlik and Al-Hababi (2024), to gradient-boosting alternatives LightGBM and CatBoost — the latter avoiding the one-hot fragmentation that complicated Section 5.10 — and, once a richer feature set exists, to deep learning approaches such as TabNet. NLP on graduate CVs would be a natural extension once free-text portfolio data is collected, decomposing Resume_Score into its constituent signals.</w:t>
      </w:r>
    </w:p>
    <w:p w:rsidR="006D5227" w:rsidRDefault="00D90561">
      <w:pPr>
        <w:spacing w:after="200" w:line="360" w:lineRule="auto"/>
        <w:jc w:val="both"/>
      </w:pPr>
      <w:r>
        <w:rPr>
          <w:sz w:val="24"/>
          <w:szCs w:val="24"/>
        </w:rPr>
        <w:t>Fairness and generalisation should be addressed through the audit design of Section 6.3.1: retaining demographic attributes for evaluation while excluding them from training permits per-subgroup reporting of recall and precision across gender, institution type, major and geographic origin, extending the bias-aware analysis of Guo et al. (2020); where disparities are found, fairness-constrained training or per-subgroup threshold calibration should be evaluated. Longitudinal validation should track a cohort prospectively, recording predictions at graduation against outcomes observed at 12 and 24 months — the only design that tests the model as it would actually be used and that can establish whether its associations remain stable as labour-market conditions change.</w:t>
      </w:r>
    </w:p>
    <w:p w:rsidR="006D5227" w:rsidRDefault="00D90561">
      <w:pPr>
        <w:pStyle w:val="Heading3"/>
        <w:keepNext/>
        <w:keepLines/>
        <w:spacing w:before="240" w:after="160"/>
      </w:pPr>
      <w:r>
        <w:rPr>
          <w:b/>
          <w:bCs/>
        </w:rPr>
        <w:lastRenderedPageBreak/>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Beyond the above, four further directions would extend the study’s scope. First, the binary target could be reframed as multi-class or multi-label classification predicting specific job roles (e.g. Software Engineer, Data Analyst, UI/UX Designer), using track-specific features such as GitHub activity, networking certifications (e.g. CCNA) or design-portfolio presence (Behance, Dribbble) for role-level rather than binary guidance. Second, the model could connect via API to platforms such as GitHub, LeetCode and LinkedIn to fetch problem-solving activity and profile completeness automatically, replacing several self-reported attributes in Table 6.1 with continuously updated, verifiable data. Third, the SHAP explanations of Section 6.3.4 could become a personalised,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r>
        <w:rPr>
          <w:sz w:val="24"/>
          <w:szCs w:val="24"/>
        </w:rPr>
        <w:t xml:space="preserve">Baffa, M. H., Miyim, M. A., &amp; Dauda, A. S. (2023). Machine learning for predicting students’ employability. </w:t>
      </w:r>
      <w:r>
        <w:rPr>
          <w:i/>
          <w:iCs/>
          <w:sz w:val="24"/>
          <w:szCs w:val="24"/>
        </w:rPr>
        <w:t>UMYU Scientifica,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r>
        <w:rPr>
          <w:i/>
          <w:iCs/>
          <w:sz w:val="24"/>
          <w:szCs w:val="24"/>
        </w:rPr>
        <w:t>Labour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Majumder, A., Mia, M. J., Basri, R., &amp; Zulfiker, M. S. (2021). Career prediction with analysis of influential factors using data mining in the context of Bangladesh. In M. S. Kaiser, A. Bandyopadhyay,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r>
        <w:rPr>
          <w:sz w:val="24"/>
          <w:szCs w:val="24"/>
        </w:rPr>
        <w:t xml:space="preserve">Breiman,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r>
        <w:rPr>
          <w:sz w:val="24"/>
          <w:szCs w:val="24"/>
        </w:rPr>
        <w:t xml:space="preserve">Casuat, C. D., &amp; Festijo,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Kegelmeyer,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Guestrin, C. (2016). XGBoost: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A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r>
        <w:rPr>
          <w:sz w:val="24"/>
          <w:szCs w:val="24"/>
        </w:rPr>
        <w:lastRenderedPageBreak/>
        <w:t xml:space="preserve">ElSharkawy, G., Helmy, Y., &amp; Yehia,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Kaggle.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Zehner,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r>
        <w:rPr>
          <w:sz w:val="24"/>
          <w:szCs w:val="24"/>
        </w:rPr>
        <w:t xml:space="preserve">García-Peñalvo, F. J., Cruz-Benito, J., Martín-González, M., Vázquez-Ingelmo, A., Sánchez-Prieto, J. C., &amp; Therón,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r>
        <w:rPr>
          <w:sz w:val="24"/>
          <w:szCs w:val="24"/>
        </w:rPr>
        <w:t xml:space="preserve">Guo,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r>
        <w:rPr>
          <w:sz w:val="24"/>
          <w:szCs w:val="24"/>
        </w:rPr>
        <w:t xml:space="preserve">Haque, R., Quek,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Sharmin, S., Islam, A. T. M. F., Khandakar, H., Siddique, A. H., Shuhan, A. H., &amp; Khandaker,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r>
        <w:rPr>
          <w:sz w:val="24"/>
          <w:szCs w:val="24"/>
        </w:rPr>
        <w:t xml:space="preserve">Jony,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r>
        <w:rPr>
          <w:sz w:val="24"/>
          <w:szCs w:val="24"/>
        </w:rPr>
        <w:lastRenderedPageBreak/>
        <w:t xml:space="preserve">Kahlik, A. A., &amp; Al-Hababi,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r>
        <w:rPr>
          <w:sz w:val="24"/>
          <w:szCs w:val="24"/>
        </w:rPr>
        <w:t xml:space="preserve">Mezhoudi, N., Alghamdi, R., Aljunaid, R., Krichna, G., &amp; Düştegör,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Yusoff, I., &amp; Kee,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r>
        <w:rPr>
          <w:sz w:val="24"/>
          <w:szCs w:val="24"/>
        </w:rPr>
        <w:t xml:space="preserve">Vo,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r>
        <w:rPr>
          <w:sz w:val="24"/>
          <w:szCs w:val="24"/>
        </w:rPr>
        <w:t xml:space="preserve">Yorke,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r>
        <w:rPr>
          <w:sz w:val="24"/>
          <w:szCs w:val="24"/>
        </w:rPr>
        <w:t xml:space="preserve">Zulfiker, M. S., Kabir,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Table A.1 defines the key terms used throughout this thesis as they are operationalised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(Yorke, 2006). In this study it is operationalised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The discrepancy between the competencies developed through formal higher education and those required by employers in the labour market (Hasan et al., 2024; Jony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both model-intrinsic importance measures and SHapley Additive exPlanations (Lundberg &amp; Lee, 2017).</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5D7B" w:rsidRDefault="00AB5D7B">
      <w:r>
        <w:separator/>
      </w:r>
    </w:p>
  </w:endnote>
  <w:endnote w:type="continuationSeparator" w:id="0">
    <w:p w:rsidR="00AB5D7B" w:rsidRDefault="00AB5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096996E-FEB6-4A55-AE14-7558FCA3F540}"/>
  </w:font>
  <w:font w:name="Cambria">
    <w:panose1 w:val="02040503050406030204"/>
    <w:charset w:val="00"/>
    <w:family w:val="roman"/>
    <w:pitch w:val="variable"/>
    <w:sig w:usb0="E00006FF" w:usb1="420024FF" w:usb2="02000000" w:usb3="00000000" w:csb0="0000019F" w:csb1="00000000"/>
    <w:embedRegular r:id="rId2" w:fontKey="{140A340D-6338-48F2-B8CF-F682199B1D82}"/>
    <w:embedBold r:id="rId3" w:fontKey="{D9C85BC3-6095-4E69-9132-28795A564E01}"/>
  </w:font>
  <w:font w:name="Calibri">
    <w:panose1 w:val="020F0502020204030204"/>
    <w:charset w:val="00"/>
    <w:family w:val="swiss"/>
    <w:pitch w:val="variable"/>
    <w:sig w:usb0="E4002EFF" w:usb1="C000247B" w:usb2="00000009" w:usb3="00000000" w:csb0="000001FF" w:csb1="00000000"/>
    <w:embedRegular r:id="rId4" w:fontKey="{457B496D-4351-4352-B64E-72F7E887A4B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0A653A">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0A653A">
      <w:rPr>
        <w:noProof/>
        <w:sz w:val="24"/>
        <w:szCs w:val="24"/>
      </w:rPr>
      <w:t>57</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5D7B" w:rsidRDefault="00AB5D7B">
      <w:r>
        <w:separator/>
      </w:r>
    </w:p>
  </w:footnote>
  <w:footnote w:type="continuationSeparator" w:id="0">
    <w:p w:rsidR="00AB5D7B" w:rsidRDefault="00AB5D7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3C49A2"/>
    <w:rsid w:val="0051277E"/>
    <w:rsid w:val="006D5227"/>
    <w:rsid w:val="00936081"/>
    <w:rsid w:val="00990702"/>
    <w:rsid w:val="00AB5D7B"/>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27230</Words>
  <Characters>155215</Characters>
  <Application>Microsoft Office Word</Application>
  <DocSecurity>0</DocSecurity>
  <Lines>1293</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8</cp:revision>
  <dcterms:created xsi:type="dcterms:W3CDTF">2026-08-23T04:32:00Z</dcterms:created>
  <dcterms:modified xsi:type="dcterms:W3CDTF">2026-08-30T07:08:00Z</dcterms:modified>
</cp:coreProperties>
</file>