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Mahabub Alam </w:t>
        <w:br/>
        <w:t>ID: WUB 03/23/64/3835</w:t>
      </w:r>
    </w:p>
    <w:p w:rsidR="006D5227" w:rsidRDefault="00D90561">
      <w:pPr>
        <w:spacing w:after="60"/>
        <w:jc w:val="center"/>
        <w:rPr>
          <w:sz w:val="24"/>
          <w:szCs w:val="24"/>
        </w:rPr>
      </w:pPr>
      <w:r>
        <w:rPr>
          <w:sz w:val="24"/>
          <w:szCs w:val="24"/>
        </w:rPr>
        <w:t xml:space="preserve">Md. Al-Amin Miah </w:t>
        <w:br/>
        <w:t xml:space="preserve"> ID: WUB 03/23/64/3829</w:t>
      </w:r>
    </w:p>
    <w:p w:rsidR="006D5227" w:rsidRDefault="00D90561">
      <w:pPr>
        <w:spacing w:after="60"/>
        <w:jc w:val="center"/>
        <w:rPr>
          <w:sz w:val="24"/>
          <w:szCs w:val="24"/>
        </w:rPr>
      </w:pPr>
      <w:r>
        <w:rPr>
          <w:sz w:val="24"/>
          <w:szCs w:val="24"/>
        </w:rPr>
        <w:t xml:space="preserve">Subir Sarker Saurav </w:t>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r>
        <w:rPr>
          <w:b/>
          <w:bCs/>
          <w:sz w:val="24"/>
          <w:szCs w:val="24"/>
        </w:rPr>
        <w:t xml:space="preserve">Kazi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D90561">
      <w:pPr>
        <w:jc w:val="center"/>
        <w:rPr>
          <w:sz w:val="24"/>
          <w:szCs w:val="24"/>
        </w:rPr>
      </w:pPr>
      <w:r>
        <w:rPr>
          <w:b/>
          <w:bCs/>
          <w:sz w:val="24"/>
          <w:szCs w:val="24"/>
        </w:rPr>
        <w:t xml:space="preserve">July ,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6D5227" w:rsidRDefault="00D90561" w:rsidP="00D90561">
      <w:pPr>
        <w:tabs>
          <w:tab w:val="right" w:pos="8666"/>
        </w:tabs>
        <w:spacing w:after="180"/>
        <w:rPr>
          <w:sz w:val="24"/>
          <w:szCs w:val="24"/>
        </w:rPr>
      </w:pPr>
      <w:r>
        <w:rPr>
          <w:b/>
          <w:bCs/>
          <w:sz w:val="24"/>
          <w:szCs w:val="24"/>
        </w:rPr>
        <w:t>Table of Contents</w:t>
      </w:r>
      <w:r>
        <w:rPr>
          <w:sz w:val="24"/>
          <w:szCs w:val="24"/>
        </w:rPr>
        <w:tab/>
        <w:t xml:space="preserve">        </w:t>
      </w:r>
      <w:r>
        <w:rPr>
          <w:b/>
          <w:bCs/>
          <w:sz w:val="24"/>
          <w:szCs w:val="24"/>
        </w:rPr>
        <w:t>Page</w:t>
      </w:r>
    </w:p>
    <w:p w:rsidR="006D5227" w:rsidRDefault="00D90561">
      <w:pPr>
        <w:tabs>
          <w:tab w:val="right" w:leader="dot" w:pos="8666"/>
        </w:tabs>
        <w:spacing w:after="60"/>
        <w:rPr>
          <w:sz w:val="24"/>
          <w:szCs w:val="24"/>
        </w:rPr>
      </w:pPr>
      <w:r>
        <w:rPr>
          <w:sz w:val="24"/>
          <w:szCs w:val="24"/>
        </w:rPr>
        <w:t>Letter of Transmittal</w:t>
        <w:tab/>
        <w:t>ii</w:t>
      </w:r>
    </w:p>
    <w:p w:rsidR="006D5227" w:rsidRDefault="00D90561">
      <w:pPr>
        <w:tabs>
          <w:tab w:val="right" w:leader="dot" w:pos="8666"/>
        </w:tabs>
        <w:spacing w:after="60"/>
        <w:rPr>
          <w:sz w:val="24"/>
          <w:szCs w:val="24"/>
        </w:rPr>
      </w:pPr>
      <w:r>
        <w:rPr>
          <w:sz w:val="24"/>
          <w:szCs w:val="24"/>
        </w:rPr>
        <w:t>Declaration</w:t>
        <w:tab/>
        <w:t>iii</w:t>
      </w:r>
    </w:p>
    <w:p w:rsidR="006D5227" w:rsidRDefault="00D90561">
      <w:pPr>
        <w:tabs>
          <w:tab w:val="right" w:leader="dot" w:pos="8666"/>
        </w:tabs>
        <w:spacing w:after="60"/>
        <w:rPr>
          <w:sz w:val="24"/>
          <w:szCs w:val="24"/>
        </w:rPr>
      </w:pPr>
      <w:r>
        <w:rPr>
          <w:sz w:val="24"/>
          <w:szCs w:val="24"/>
        </w:rPr>
        <w:t>Certificate</w:t>
        <w:tab/>
        <w:t>iv</w:t>
      </w:r>
    </w:p>
    <w:p w:rsidR="006D5227" w:rsidRDefault="00D90561">
      <w:pPr>
        <w:tabs>
          <w:tab w:val="right" w:leader="dot" w:pos="8666"/>
        </w:tabs>
        <w:spacing w:after="60"/>
        <w:rPr>
          <w:sz w:val="24"/>
          <w:szCs w:val="24"/>
        </w:rPr>
      </w:pPr>
      <w:r>
        <w:rPr>
          <w:sz w:val="24"/>
          <w:szCs w:val="24"/>
        </w:rPr>
        <w:t>Acknowledgement</w:t>
        <w:tab/>
        <w:t>v</w:t>
      </w:r>
    </w:p>
    <w:p w:rsidR="006D5227" w:rsidRDefault="00D90561">
      <w:pPr>
        <w:tabs>
          <w:tab w:val="right" w:leader="dot" w:pos="8666"/>
        </w:tabs>
        <w:spacing w:after="60"/>
        <w:rPr>
          <w:sz w:val="24"/>
          <w:szCs w:val="24"/>
        </w:rPr>
      </w:pPr>
      <w:r>
        <w:rPr>
          <w:sz w:val="24"/>
          <w:szCs w:val="24"/>
        </w:rPr>
        <w:t>Abstract</w:t>
        <w:tab/>
        <w:t>vi</w:t>
      </w:r>
    </w:p>
    <w:p w:rsidR="006D5227" w:rsidRDefault="00D90561">
      <w:pPr>
        <w:tabs>
          <w:tab w:val="right" w:leader="dot" w:pos="8666"/>
        </w:tabs>
        <w:spacing w:after="60"/>
        <w:rPr>
          <w:sz w:val="24"/>
          <w:szCs w:val="24"/>
        </w:rPr>
      </w:pPr>
      <w:r>
        <w:rPr>
          <w:sz w:val="24"/>
          <w:szCs w:val="24"/>
        </w:rPr>
        <w:t>Table of Contents</w:t>
        <w:tab/>
        <w:t>vii</w:t>
      </w:r>
    </w:p>
    <w:p w:rsidR="006D5227" w:rsidRDefault="00D90561">
      <w:pPr>
        <w:tabs>
          <w:tab w:val="right" w:leader="dot" w:pos="8666"/>
        </w:tabs>
        <w:spacing w:after="60"/>
        <w:rPr>
          <w:sz w:val="24"/>
          <w:szCs w:val="24"/>
        </w:rPr>
      </w:pPr>
      <w:r>
        <w:rPr>
          <w:sz w:val="24"/>
          <w:szCs w:val="24"/>
        </w:rPr>
        <w:t>List of Tables</w:t>
        <w:tab/>
        <w:t>ix</w:t>
      </w:r>
    </w:p>
    <w:p w:rsidR="006D5227" w:rsidRDefault="00D90561">
      <w:pPr>
        <w:tabs>
          <w:tab w:val="right" w:leader="dot" w:pos="8666"/>
        </w:tabs>
        <w:spacing w:after="60"/>
        <w:rPr>
          <w:sz w:val="24"/>
          <w:szCs w:val="24"/>
        </w:rPr>
      </w:pPr>
      <w:r>
        <w:rPr>
          <w:sz w:val="24"/>
          <w:szCs w:val="24"/>
        </w:rPr>
        <w:t>List of Figures</w:t>
        <w:tab/>
        <w:t>xi</w:t>
      </w:r>
    </w:p>
    <w:p w:rsidR="006D5227" w:rsidRDefault="00D90561">
      <w:pPr>
        <w:tabs>
          <w:tab w:val="right" w:leader="dot" w:pos="8666"/>
        </w:tabs>
        <w:spacing w:after="60"/>
        <w:rPr>
          <w:sz w:val="24"/>
          <w:szCs w:val="24"/>
        </w:rPr>
      </w:pPr>
      <w:r>
        <w:rPr>
          <w:sz w:val="24"/>
          <w:szCs w:val="24"/>
        </w:rPr>
        <w:t>Abbreviations</w:t>
        <w:tab/>
        <w:t>xiii</w:t>
      </w:r>
    </w:p>
    <w:p w:rsidR="006D5227" w:rsidRDefault="006D5227">
      <w:pPr>
        <w:spacing w:after="400"/>
        <w:jc w:val="center"/>
        <w:rPr>
          <w:b/>
          <w:bCs/>
          <w:sz w:val="28"/>
          <w:szCs w:val="28"/>
        </w:rPr>
      </w:pPr>
    </w:p>
    <w:p w:rsidR="006D5227" w:rsidRDefault="00D90561">
      <w:pPr>
        <w:tabs>
          <w:tab w:val="right" w:leader="dot" w:pos="9027"/>
        </w:tabs>
        <w:spacing w:after="140"/>
      </w:pPr>
      <w:r>
        <w:rPr>
          <w:b/>
          <w:bCs/>
          <w:sz w:val="24"/>
          <w:szCs w:val="24"/>
        </w:rPr>
        <w:t>Chapter 1: Introduction</w:t>
        <w:tab/>
        <w:t>1</w:t>
      </w:r>
    </w:p>
    <w:p w:rsidR="006D5227" w:rsidRDefault="00D90561">
      <w:pPr>
        <w:tabs>
          <w:tab w:val="right" w:leader="dot" w:pos="9027"/>
        </w:tabs>
        <w:spacing w:after="80"/>
        <w:ind w:left="360"/>
      </w:pPr>
      <w:r>
        <w:rPr>
          <w:sz w:val="24"/>
          <w:szCs w:val="24"/>
        </w:rPr>
        <w:t>1.1 Background of the Study</w:t>
        <w:tab/>
        <w:t>1</w:t>
      </w:r>
    </w:p>
    <w:p w:rsidR="006D5227" w:rsidRDefault="00D90561">
      <w:pPr>
        <w:tabs>
          <w:tab w:val="right" w:leader="dot" w:pos="9027"/>
        </w:tabs>
        <w:spacing w:after="80"/>
        <w:ind w:left="360"/>
      </w:pPr>
      <w:r>
        <w:rPr>
          <w:sz w:val="24"/>
          <w:szCs w:val="24"/>
        </w:rPr>
        <w:t>1.2 Statement of the Problem</w:t>
        <w:tab/>
        <w:t>3</w:t>
      </w:r>
    </w:p>
    <w:p w:rsidR="006D5227" w:rsidRDefault="00D90561">
      <w:pPr>
        <w:tabs>
          <w:tab w:val="right" w:leader="dot" w:pos="9027"/>
        </w:tabs>
        <w:spacing w:after="80"/>
        <w:ind w:left="360"/>
      </w:pPr>
      <w:r>
        <w:rPr>
          <w:sz w:val="24"/>
          <w:szCs w:val="24"/>
        </w:rPr>
        <w:t>1.3 Research Questions</w:t>
        <w:tab/>
        <w:t>5</w:t>
      </w:r>
    </w:p>
    <w:p w:rsidR="006D5227" w:rsidRDefault="00D90561">
      <w:pPr>
        <w:tabs>
          <w:tab w:val="right" w:leader="dot" w:pos="9027"/>
        </w:tabs>
        <w:spacing w:after="80"/>
        <w:ind w:left="360"/>
      </w:pPr>
      <w:r>
        <w:rPr>
          <w:sz w:val="24"/>
          <w:szCs w:val="24"/>
        </w:rPr>
        <w:t>1.4 Research Objectives</w:t>
        <w:tab/>
        <w:t>6</w:t>
      </w:r>
    </w:p>
    <w:p w:rsidR="006D5227" w:rsidRDefault="00D90561">
      <w:pPr>
        <w:tabs>
          <w:tab w:val="right" w:leader="dot" w:pos="9027"/>
        </w:tabs>
        <w:spacing w:after="80"/>
        <w:ind w:left="360"/>
      </w:pPr>
      <w:r>
        <w:rPr>
          <w:sz w:val="24"/>
          <w:szCs w:val="24"/>
        </w:rPr>
        <w:t>1.5 Justification and Significance of the Study</w:t>
        <w:tab/>
        <w:t>6</w:t>
      </w:r>
    </w:p>
    <w:p w:rsidR="006D5227" w:rsidRDefault="00D90561">
      <w:pPr>
        <w:tabs>
          <w:tab w:val="right" w:leader="dot" w:pos="9027"/>
        </w:tabs>
        <w:spacing w:after="80"/>
        <w:ind w:left="360"/>
      </w:pPr>
      <w:r>
        <w:rPr>
          <w:sz w:val="24"/>
          <w:szCs w:val="24"/>
        </w:rPr>
        <w:t>1.6 Scope of the Study</w:t>
        <w:tab/>
        <w:t>8</w:t>
      </w:r>
    </w:p>
    <w:p w:rsidR="006D5227" w:rsidRDefault="00D90561">
      <w:pPr>
        <w:tabs>
          <w:tab w:val="right" w:leader="dot" w:pos="9027"/>
        </w:tabs>
        <w:spacing w:after="140"/>
      </w:pPr>
      <w:r>
        <w:rPr>
          <w:b/>
          <w:bCs/>
          <w:sz w:val="24"/>
          <w:szCs w:val="24"/>
        </w:rPr>
        <w:t>Chapter 2: Literature Review</w:t>
        <w:tab/>
        <w:t>11</w:t>
      </w:r>
    </w:p>
    <w:p w:rsidR="006D5227" w:rsidRDefault="00D90561">
      <w:pPr>
        <w:tabs>
          <w:tab w:val="right" w:leader="dot" w:pos="9027"/>
        </w:tabs>
        <w:spacing w:after="80"/>
        <w:ind w:left="360"/>
      </w:pPr>
      <w:r>
        <w:rPr>
          <w:sz w:val="24"/>
          <w:szCs w:val="24"/>
        </w:rPr>
        <w:t>2.1 Introduction</w:t>
        <w:tab/>
        <w:t>11</w:t>
      </w:r>
    </w:p>
    <w:p w:rsidR="006D5227" w:rsidRDefault="00D90561">
      <w:pPr>
        <w:tabs>
          <w:tab w:val="right" w:leader="dot" w:pos="9027"/>
        </w:tabs>
        <w:spacing w:after="80"/>
        <w:ind w:left="360"/>
      </w:pPr>
      <w:r>
        <w:rPr>
          <w:sz w:val="24"/>
          <w:szCs w:val="24"/>
        </w:rPr>
        <w:t>2.2 Review Methodology</w:t>
        <w:tab/>
        <w:t>12</w:t>
      </w:r>
    </w:p>
    <w:p w:rsidR="006D5227" w:rsidRDefault="00D90561">
      <w:pPr>
        <w:tabs>
          <w:tab w:val="right" w:leader="dot" w:pos="9027"/>
        </w:tabs>
        <w:spacing w:after="80"/>
        <w:ind w:left="360"/>
      </w:pPr>
      <w:r>
        <w:rPr>
          <w:sz w:val="24"/>
          <w:szCs w:val="24"/>
        </w:rPr>
        <w:t>2.3 Conceptual Foundations of Graduate Employability</w:t>
        <w:tab/>
        <w:t>12</w:t>
      </w:r>
    </w:p>
    <w:p w:rsidR="006D5227" w:rsidRDefault="00D90561">
      <w:pPr>
        <w:tabs>
          <w:tab w:val="right" w:leader="dot" w:pos="9027"/>
        </w:tabs>
        <w:spacing w:after="80"/>
        <w:ind w:left="360"/>
      </w:pPr>
      <w:r>
        <w:rPr>
          <w:sz w:val="24"/>
          <w:szCs w:val="24"/>
        </w:rPr>
        <w:t>2.3.1 Definitional and Theoretical Development</w:t>
        <w:tab/>
        <w:t>12</w:t>
      </w:r>
    </w:p>
    <w:p w:rsidR="006D5227" w:rsidRDefault="00D90561">
      <w:pPr>
        <w:tabs>
          <w:tab w:val="right" w:leader="dot" w:pos="9027"/>
        </w:tabs>
        <w:spacing w:after="80"/>
        <w:ind w:left="360"/>
      </w:pPr>
      <w:r>
        <w:rPr>
          <w:sz w:val="24"/>
          <w:szCs w:val="24"/>
        </w:rPr>
        <w:t>2.3.2 Critical Appraisal of the Conceptual Literature</w:t>
        <w:tab/>
        <w:t>13</w:t>
      </w:r>
    </w:p>
    <w:p w:rsidR="006D5227" w:rsidRDefault="00D90561">
      <w:pPr>
        <w:tabs>
          <w:tab w:val="right" w:leader="dot" w:pos="9027"/>
        </w:tabs>
        <w:spacing w:after="80"/>
        <w:ind w:left="360"/>
      </w:pPr>
      <w:r>
        <w:rPr>
          <w:sz w:val="24"/>
          <w:szCs w:val="24"/>
        </w:rPr>
        <w:t>2.4 The Bangladeshi Context</w:t>
        <w:tab/>
        <w:t>13</w:t>
      </w:r>
    </w:p>
    <w:p w:rsidR="006D5227" w:rsidRDefault="00D90561">
      <w:pPr>
        <w:tabs>
          <w:tab w:val="right" w:leader="dot" w:pos="9027"/>
        </w:tabs>
        <w:spacing w:after="80"/>
        <w:ind w:left="360"/>
      </w:pPr>
      <w:r>
        <w:rPr>
          <w:sz w:val="24"/>
          <w:szCs w:val="24"/>
        </w:rPr>
        <w:t>2.5 Machine Learning Approaches to Employability Prediction</w:t>
        <w:tab/>
        <w:t>15</w:t>
      </w:r>
    </w:p>
    <w:p w:rsidR="006D5227" w:rsidRDefault="00D90561">
      <w:pPr>
        <w:tabs>
          <w:tab w:val="right" w:leader="dot" w:pos="9027"/>
        </w:tabs>
        <w:spacing w:after="80"/>
        <w:ind w:left="360"/>
      </w:pPr>
      <w:r>
        <w:rPr>
          <w:sz w:val="24"/>
          <w:szCs w:val="24"/>
        </w:rPr>
        <w:t>2.5.1 Single-Classifier Studies</w:t>
        <w:tab/>
        <w:t>15</w:t>
      </w:r>
    </w:p>
    <w:p w:rsidR="006D5227" w:rsidRDefault="00D90561">
      <w:pPr>
        <w:tabs>
          <w:tab w:val="right" w:leader="dot" w:pos="9027"/>
        </w:tabs>
        <w:spacing w:after="80"/>
        <w:ind w:left="360"/>
      </w:pPr>
      <w:r>
        <w:rPr>
          <w:sz w:val="24"/>
          <w:szCs w:val="24"/>
        </w:rPr>
        <w:t>2.5.2 Ensemble and Boosting Approaches</w:t>
        <w:tab/>
        <w:t>16</w:t>
      </w:r>
    </w:p>
    <w:p w:rsidR="006D5227" w:rsidRDefault="00D90561">
      <w:pPr>
        <w:tabs>
          <w:tab w:val="right" w:leader="dot" w:pos="9027"/>
        </w:tabs>
        <w:spacing w:after="80"/>
        <w:ind w:left="360"/>
      </w:pPr>
      <w:r>
        <w:rPr>
          <w:sz w:val="24"/>
          <w:szCs w:val="24"/>
        </w:rPr>
        <w:t>2.6 Comparative and Critical Analysis of Reviewed Studies</w:t>
        <w:tab/>
        <w:t>16</w:t>
      </w:r>
    </w:p>
    <w:p w:rsidR="006D5227" w:rsidRDefault="00D90561">
      <w:pPr>
        <w:tabs>
          <w:tab w:val="right" w:leader="dot" w:pos="9027"/>
        </w:tabs>
        <w:spacing w:after="80"/>
        <w:ind w:left="360"/>
      </w:pPr>
      <w:r>
        <w:rPr>
          <w:sz w:val="24"/>
          <w:szCs w:val="24"/>
        </w:rPr>
        <w:t>2.7 Research Gaps and Novelty of the Present Study</w:t>
        <w:tab/>
        <w:t>20</w:t>
      </w:r>
    </w:p>
    <w:p w:rsidR="006D5227" w:rsidRDefault="00D90561">
      <w:pPr>
        <w:tabs>
          <w:tab w:val="right" w:leader="dot" w:pos="9027"/>
        </w:tabs>
        <w:spacing w:after="80"/>
        <w:ind w:left="360"/>
      </w:pPr>
      <w:r>
        <w:rPr>
          <w:sz w:val="24"/>
          <w:szCs w:val="24"/>
        </w:rPr>
        <w:t>2.8 Conceptual Framework</w:t>
        <w:tab/>
        <w:t>22</w:t>
      </w:r>
    </w:p>
    <w:p w:rsidR="006D5227" w:rsidRDefault="00D90561">
      <w:pPr>
        <w:tabs>
          <w:tab w:val="right" w:leader="dot" w:pos="9027"/>
        </w:tabs>
        <w:spacing w:after="140"/>
      </w:pPr>
      <w:r>
        <w:rPr>
          <w:b/>
          <w:bCs/>
          <w:sz w:val="24"/>
          <w:szCs w:val="24"/>
        </w:rPr>
        <w:t>Chapter 3: Methodology</w:t>
        <w:tab/>
        <w:t>23</w:t>
      </w:r>
    </w:p>
    <w:p w:rsidR="006D5227" w:rsidRDefault="00D90561">
      <w:pPr>
        <w:tabs>
          <w:tab w:val="right" w:leader="dot" w:pos="9027"/>
        </w:tabs>
        <w:spacing w:after="80"/>
        <w:ind w:left="360"/>
      </w:pPr>
      <w:r>
        <w:rPr>
          <w:sz w:val="24"/>
          <w:szCs w:val="24"/>
        </w:rPr>
        <w:t>3.1 Methodology</w:t>
        <w:tab/>
        <w:t>23</w:t>
      </w:r>
    </w:p>
    <w:p w:rsidR="006D5227" w:rsidRDefault="00D90561">
      <w:pPr>
        <w:tabs>
          <w:tab w:val="right" w:leader="dot" w:pos="9027"/>
        </w:tabs>
        <w:spacing w:after="80"/>
        <w:ind w:left="360"/>
      </w:pPr>
      <w:r>
        <w:rPr>
          <w:sz w:val="24"/>
          <w:szCs w:val="24"/>
        </w:rPr>
        <w:t>3.2 Justification of Methodology</w:t>
        <w:tab/>
        <w:t>23</w:t>
      </w:r>
    </w:p>
    <w:p w:rsidR="006D5227" w:rsidRDefault="00D90561">
      <w:pPr>
        <w:tabs>
          <w:tab w:val="right" w:leader="dot" w:pos="9027"/>
        </w:tabs>
        <w:spacing w:after="80"/>
        <w:ind w:left="360"/>
      </w:pPr>
      <w:r>
        <w:rPr>
          <w:sz w:val="24"/>
          <w:szCs w:val="24"/>
        </w:rPr>
        <w:t>3.3 Description of Methodology</w:t>
        <w:tab/>
        <w:t>26</w:t>
      </w:r>
    </w:p>
    <w:p w:rsidR="006D5227" w:rsidRDefault="00D90561">
      <w:pPr>
        <w:tabs>
          <w:tab w:val="right" w:leader="dot" w:pos="9027"/>
        </w:tabs>
        <w:spacing w:after="140"/>
      </w:pPr>
      <w:r>
        <w:rPr>
          <w:b/>
          <w:bCs/>
          <w:sz w:val="24"/>
          <w:szCs w:val="24"/>
        </w:rPr>
        <w:t>Chapter 4: Research Design</w:t>
        <w:tab/>
        <w:t>28</w:t>
      </w:r>
    </w:p>
    <w:p w:rsidR="006D5227" w:rsidRDefault="00D90561">
      <w:pPr>
        <w:tabs>
          <w:tab w:val="right" w:leader="dot" w:pos="9027"/>
        </w:tabs>
        <w:spacing w:after="80"/>
        <w:ind w:left="360"/>
      </w:pPr>
      <w:r>
        <w:rPr>
          <w:sz w:val="24"/>
          <w:szCs w:val="24"/>
        </w:rPr>
        <w:lastRenderedPageBreak/>
        <w:t>4.1 Overview of the Research Design</w:t>
        <w:tab/>
        <w:t>28</w:t>
      </w:r>
    </w:p>
    <w:p w:rsidR="006D5227" w:rsidRDefault="00D90561">
      <w:pPr>
        <w:tabs>
          <w:tab w:val="right" w:leader="dot" w:pos="9027"/>
        </w:tabs>
        <w:spacing w:after="80"/>
        <w:ind w:left="360"/>
      </w:pPr>
      <w:r>
        <w:rPr>
          <w:sz w:val="24"/>
          <w:szCs w:val="24"/>
        </w:rPr>
        <w:t>4.2 Machine Learning Model Workflow</w:t>
        <w:tab/>
        <w:t>29</w:t>
      </w:r>
    </w:p>
    <w:p w:rsidR="006D5227" w:rsidRDefault="00D90561">
      <w:pPr>
        <w:tabs>
          <w:tab w:val="right" w:leader="dot" w:pos="9027"/>
        </w:tabs>
        <w:spacing w:after="80"/>
        <w:ind w:left="360"/>
      </w:pPr>
      <w:r>
        <w:rPr>
          <w:sz w:val="24"/>
          <w:szCs w:val="24"/>
        </w:rPr>
        <w:t>4.3 Requirement Analysis for the Prediction System</w:t>
        <w:tab/>
        <w:t>31</w:t>
      </w:r>
    </w:p>
    <w:p w:rsidR="006D5227" w:rsidRDefault="00D90561">
      <w:pPr>
        <w:tabs>
          <w:tab w:val="right" w:leader="dot" w:pos="9027"/>
        </w:tabs>
        <w:spacing w:after="80"/>
        <w:ind w:left="360"/>
      </w:pPr>
      <w:r>
        <w:rPr>
          <w:sz w:val="24"/>
          <w:szCs w:val="24"/>
        </w:rPr>
        <w:t>4.3.1 Requirement Gathering Techniques</w:t>
        <w:tab/>
        <w:t>31</w:t>
      </w:r>
    </w:p>
    <w:p w:rsidR="006D5227" w:rsidRDefault="00D90561">
      <w:pPr>
        <w:tabs>
          <w:tab w:val="right" w:leader="dot" w:pos="9027"/>
        </w:tabs>
        <w:spacing w:after="80"/>
        <w:ind w:left="360"/>
      </w:pPr>
      <w:r>
        <w:rPr>
          <w:sz w:val="24"/>
          <w:szCs w:val="24"/>
        </w:rPr>
        <w:t>4.3.2 Functional and Non-Functional Requirements</w:t>
        <w:tab/>
        <w:t>31</w:t>
      </w:r>
    </w:p>
    <w:p w:rsidR="006D5227" w:rsidRDefault="00D90561">
      <w:pPr>
        <w:tabs>
          <w:tab w:val="right" w:leader="dot" w:pos="9027"/>
        </w:tabs>
        <w:spacing w:after="80"/>
        <w:ind w:left="360"/>
      </w:pPr>
      <w:r>
        <w:rPr>
          <w:sz w:val="24"/>
          <w:szCs w:val="24"/>
        </w:rPr>
        <w:t>4.4 Data Flow Design</w:t>
        <w:tab/>
        <w:t>32</w:t>
      </w:r>
    </w:p>
    <w:p w:rsidR="006D5227" w:rsidRDefault="00D90561">
      <w:pPr>
        <w:tabs>
          <w:tab w:val="right" w:leader="dot" w:pos="9027"/>
        </w:tabs>
        <w:spacing w:after="80"/>
        <w:ind w:left="360"/>
      </w:pPr>
      <w:r>
        <w:rPr>
          <w:sz w:val="24"/>
          <w:szCs w:val="24"/>
        </w:rPr>
        <w:t>4.5 System Interaction Design: Use Cases</w:t>
        <w:tab/>
        <w:t>34</w:t>
      </w:r>
    </w:p>
    <w:p w:rsidR="006D5227" w:rsidRDefault="00D90561">
      <w:pPr>
        <w:tabs>
          <w:tab w:val="right" w:leader="dot" w:pos="9027"/>
        </w:tabs>
        <w:spacing w:after="140"/>
      </w:pPr>
      <w:r>
        <w:rPr>
          <w:b/>
          <w:bCs/>
          <w:sz w:val="24"/>
          <w:szCs w:val="24"/>
        </w:rPr>
        <w:t>Chapter 5: Results and Discussion</w:t>
        <w:tab/>
        <w:t>36</w:t>
      </w:r>
    </w:p>
    <w:p w:rsidR="006D5227" w:rsidRDefault="00D90561">
      <w:pPr>
        <w:tabs>
          <w:tab w:val="right" w:leader="dot" w:pos="9027"/>
        </w:tabs>
        <w:spacing w:after="80"/>
        <w:ind w:left="360"/>
      </w:pPr>
      <w:r>
        <w:rPr>
          <w:sz w:val="24"/>
          <w:szCs w:val="24"/>
        </w:rPr>
        <w:t>5.1 Dataset Description and Characteristics</w:t>
        <w:tab/>
        <w:t>36</w:t>
      </w:r>
    </w:p>
    <w:p w:rsidR="006D5227" w:rsidRDefault="00D90561">
      <w:pPr>
        <w:tabs>
          <w:tab w:val="right" w:leader="dot" w:pos="9027"/>
        </w:tabs>
        <w:spacing w:after="80"/>
        <w:ind w:left="360"/>
      </w:pPr>
      <w:r>
        <w:rPr>
          <w:sz w:val="24"/>
          <w:szCs w:val="24"/>
        </w:rPr>
        <w:t>5.2 Dataset Analysis: Features, Data Types and Roles</w:t>
        <w:tab/>
        <w:t>38</w:t>
      </w:r>
    </w:p>
    <w:p w:rsidR="006D5227" w:rsidRDefault="00D90561">
      <w:pPr>
        <w:tabs>
          <w:tab w:val="right" w:leader="dot" w:pos="9027"/>
        </w:tabs>
        <w:spacing w:after="80"/>
        <w:ind w:left="360"/>
      </w:pPr>
      <w:r>
        <w:rPr>
          <w:sz w:val="24"/>
          <w:szCs w:val="24"/>
        </w:rPr>
        <w:t>5.3 Data Preprocessing and Preparation Results</w:t>
        <w:tab/>
        <w:t>41</w:t>
      </w:r>
    </w:p>
    <w:p w:rsidR="006D5227" w:rsidRDefault="00D90561">
      <w:pPr>
        <w:tabs>
          <w:tab w:val="right" w:leader="dot" w:pos="9027"/>
        </w:tabs>
        <w:spacing w:after="80"/>
        <w:ind w:left="360"/>
      </w:pPr>
      <w:r>
        <w:rPr>
          <w:sz w:val="24"/>
          <w:szCs w:val="24"/>
        </w:rPr>
        <w:t>5.4 Class Distribution and Dataset Balance</w:t>
        <w:tab/>
        <w:t>42</w:t>
      </w:r>
    </w:p>
    <w:p w:rsidR="006D5227" w:rsidRDefault="00D90561">
      <w:pPr>
        <w:tabs>
          <w:tab w:val="right" w:leader="dot" w:pos="9027"/>
        </w:tabs>
        <w:spacing w:after="80"/>
        <w:ind w:left="360"/>
      </w:pPr>
      <w:r>
        <w:rPr>
          <w:sz w:val="24"/>
          <w:szCs w:val="24"/>
        </w:rPr>
        <w:t>5.5 Training and Testing Strategy: The 80:20 Split</w:t>
        <w:tab/>
        <w:t>44</w:t>
      </w:r>
    </w:p>
    <w:p w:rsidR="006D5227" w:rsidRDefault="00D90561">
      <w:pPr>
        <w:tabs>
          <w:tab w:val="right" w:leader="dot" w:pos="9027"/>
        </w:tabs>
        <w:spacing w:after="80"/>
        <w:ind w:left="360"/>
      </w:pPr>
      <w:r>
        <w:rPr>
          <w:sz w:val="24"/>
          <w:szCs w:val="24"/>
        </w:rPr>
        <w:t>5.6 Machine Learning Model Workflow and Implementation</w:t>
        <w:tab/>
        <w:t>45</w:t>
      </w:r>
    </w:p>
    <w:p w:rsidR="006D5227" w:rsidRDefault="00D90561">
      <w:pPr>
        <w:tabs>
          <w:tab w:val="right" w:leader="dot" w:pos="9027"/>
        </w:tabs>
        <w:spacing w:after="80"/>
        <w:ind w:left="360"/>
      </w:pPr>
      <w:r>
        <w:rPr>
          <w:sz w:val="24"/>
          <w:szCs w:val="24"/>
        </w:rPr>
        <w:t>5.7 Model Performance and Evaluation</w:t>
        <w:tab/>
        <w:t>47</w:t>
      </w:r>
    </w:p>
    <w:p w:rsidR="006D5227" w:rsidRDefault="00D90561">
      <w:pPr>
        <w:tabs>
          <w:tab w:val="right" w:leader="dot" w:pos="9027"/>
        </w:tabs>
        <w:spacing w:after="80"/>
        <w:ind w:left="360"/>
      </w:pPr>
      <w:r>
        <w:rPr>
          <w:sz w:val="24"/>
          <w:szCs w:val="24"/>
        </w:rPr>
        <w:t xml:space="preserve">5.8 Justification of XGBoost and Comparison with Alternative Algorithms</w:t>
        <w:tab/>
        <w:t>51</w:t>
      </w:r>
    </w:p>
    <w:p w:rsidR="006D5227" w:rsidRDefault="00D90561">
      <w:pPr>
        <w:tabs>
          <w:tab w:val="right" w:leader="dot" w:pos="9027"/>
        </w:tabs>
        <w:spacing w:after="80"/>
        <w:ind w:left="360"/>
      </w:pPr>
      <w:r>
        <w:rPr>
          <w:sz w:val="24"/>
          <w:szCs w:val="24"/>
        </w:rPr>
        <w:t>5.9 System Implementation and Output: Prediction via API</w:t>
        <w:tab/>
        <w:t>54</w:t>
      </w:r>
    </w:p>
    <w:p w:rsidR="006D5227" w:rsidRDefault="00D90561">
      <w:pPr>
        <w:tabs>
          <w:tab w:val="right" w:leader="dot" w:pos="9027"/>
        </w:tabs>
        <w:spacing w:after="80"/>
        <w:ind w:left="360"/>
      </w:pPr>
      <w:r>
        <w:rPr>
          <w:sz w:val="24"/>
          <w:szCs w:val="24"/>
        </w:rPr>
        <w:t>5.10 Model Interpretation: Feature Importance and Feature Priority</w:t>
        <w:tab/>
        <w:t>55</w:t>
      </w:r>
    </w:p>
    <w:p w:rsidR="006D5227" w:rsidRDefault="00D90561">
      <w:pPr>
        <w:tabs>
          <w:tab w:val="right" w:leader="dot" w:pos="9027"/>
        </w:tabs>
        <w:spacing w:after="80"/>
        <w:ind w:left="360"/>
      </w:pPr>
      <w:r>
        <w:rPr>
          <w:sz w:val="24"/>
          <w:szCs w:val="24"/>
        </w:rPr>
        <w:t>5.11 Statistical Significance Testing: Z-Test and T-Test</w:t>
        <w:tab/>
        <w:t>58</w:t>
      </w:r>
    </w:p>
    <w:p w:rsidR="006D5227" w:rsidRDefault="00D90561">
      <w:pPr>
        <w:tabs>
          <w:tab w:val="right" w:leader="dot" w:pos="9027"/>
        </w:tabs>
        <w:spacing w:after="80"/>
        <w:ind w:left="360"/>
      </w:pPr>
      <w:r>
        <w:rPr>
          <w:sz w:val="24"/>
          <w:szCs w:val="24"/>
        </w:rPr>
        <w:t>5.12 Discussion of Findings in Relation to the Literature</w:t>
        <w:tab/>
        <w:t>62</w:t>
      </w:r>
    </w:p>
    <w:p w:rsidR="006D5227" w:rsidRDefault="00D90561">
      <w:pPr>
        <w:tabs>
          <w:tab w:val="right" w:leader="dot" w:pos="9027"/>
        </w:tabs>
        <w:spacing w:after="80"/>
        <w:ind w:left="360"/>
      </w:pPr>
      <w:r>
        <w:rPr>
          <w:sz w:val="24"/>
          <w:szCs w:val="24"/>
        </w:rPr>
        <w:t>5.13 Fulfilment of Research Objectives and Research Questions</w:t>
        <w:tab/>
        <w:t>64</w:t>
      </w:r>
    </w:p>
    <w:p w:rsidR="006D5227" w:rsidRDefault="00D90561">
      <w:pPr>
        <w:tabs>
          <w:tab w:val="right" w:leader="dot" w:pos="9027"/>
        </w:tabs>
        <w:spacing w:after="80"/>
        <w:ind w:left="360"/>
      </w:pPr>
      <w:r>
        <w:rPr>
          <w:sz w:val="24"/>
          <w:szCs w:val="24"/>
        </w:rPr>
        <w:t>5.14 Limitations Identified from the Results</w:t>
        <w:tab/>
        <w:t>65</w:t>
      </w:r>
    </w:p>
    <w:p w:rsidR="006D5227" w:rsidRDefault="00D90561">
      <w:pPr>
        <w:tabs>
          <w:tab w:val="right" w:leader="dot" w:pos="9027"/>
        </w:tabs>
        <w:spacing w:after="80"/>
        <w:ind w:left="360"/>
      </w:pPr>
      <w:r>
        <w:rPr>
          <w:sz w:val="24"/>
          <w:szCs w:val="24"/>
        </w:rPr>
        <w:t>5.15 Validation Summary</w:t>
        <w:tab/>
        <w:t>66</w:t>
      </w:r>
    </w:p>
    <w:p w:rsidR="006D5227" w:rsidRDefault="00D90561">
      <w:pPr>
        <w:tabs>
          <w:tab w:val="right" w:leader="dot" w:pos="9027"/>
        </w:tabs>
        <w:spacing w:after="140"/>
      </w:pPr>
      <w:r>
        <w:rPr>
          <w:b/>
          <w:bCs/>
          <w:sz w:val="24"/>
          <w:szCs w:val="24"/>
        </w:rPr>
        <w:t>Chapter 6: Conclusions</w:t>
        <w:tab/>
        <w:t>68</w:t>
      </w:r>
    </w:p>
    <w:p w:rsidR="006D5227" w:rsidRDefault="00D90561">
      <w:pPr>
        <w:tabs>
          <w:tab w:val="right" w:leader="dot" w:pos="9027"/>
        </w:tabs>
        <w:spacing w:after="80"/>
        <w:ind w:left="360"/>
      </w:pPr>
      <w:r>
        <w:rPr>
          <w:sz w:val="24"/>
          <w:szCs w:val="24"/>
        </w:rPr>
        <w:t>6.1 Conclusions</w:t>
        <w:tab/>
        <w:t>68</w:t>
      </w:r>
    </w:p>
    <w:p w:rsidR="006D5227" w:rsidRDefault="00D90561">
      <w:pPr>
        <w:tabs>
          <w:tab w:val="right" w:leader="dot" w:pos="9027"/>
        </w:tabs>
        <w:spacing w:after="80"/>
        <w:ind w:left="360"/>
      </w:pPr>
      <w:r>
        <w:rPr>
          <w:sz w:val="24"/>
          <w:szCs w:val="24"/>
        </w:rPr>
        <w:t>6.2 Limitations and Recommendations</w:t>
        <w:tab/>
        <w:t>69</w:t>
      </w:r>
    </w:p>
    <w:p w:rsidR="006D5227" w:rsidRDefault="00D90561">
      <w:pPr>
        <w:tabs>
          <w:tab w:val="right" w:leader="dot" w:pos="9027"/>
        </w:tabs>
        <w:spacing w:after="80"/>
        <w:ind w:left="360"/>
      </w:pPr>
      <w:r>
        <w:rPr>
          <w:sz w:val="24"/>
          <w:szCs w:val="24"/>
        </w:rPr>
        <w:t>6.3 Future Works</w:t>
        <w:tab/>
        <w:t>70</w:t>
      </w:r>
    </w:p>
    <w:p w:rsidR="006D5227" w:rsidRDefault="00D90561">
      <w:pPr>
        <w:tabs>
          <w:tab w:val="right" w:leader="dot" w:pos="9027"/>
        </w:tabs>
        <w:spacing w:after="140"/>
      </w:pPr>
      <w:r>
        <w:rPr>
          <w:b/>
          <w:bCs/>
          <w:sz w:val="24"/>
          <w:szCs w:val="24"/>
        </w:rPr>
        <w:t>References</w:t>
        <w:tab/>
        <w:t>75</w:t>
      </w:r>
    </w:p>
    <w:p w:rsidR="006D5227" w:rsidRDefault="00D90561">
      <w:pPr>
        <w:tabs>
          <w:tab w:val="right" w:leader="dot" w:pos="9027"/>
        </w:tabs>
        <w:spacing w:after="140"/>
      </w:pPr>
      <w:r>
        <w:rPr>
          <w:b/>
          <w:bCs/>
          <w:sz w:val="24"/>
          <w:szCs w:val="24"/>
        </w:rPr>
        <w:t>Appendix</w:t>
        <w:tab/>
        <w:t>78</w:t>
      </w:r>
    </w:p>
    <w:p w:rsidR="006D5227" w:rsidRDefault="00D90561">
      <w:pPr>
        <w:tabs>
          <w:tab w:val="right" w:leader="dot" w:pos="9027"/>
        </w:tabs>
        <w:spacing w:after="80"/>
        <w:ind w:left="360"/>
      </w:pPr>
      <w:r>
        <w:rPr>
          <w:sz w:val="24"/>
          <w:szCs w:val="24"/>
        </w:rPr>
        <w:t>Appendix A: Operational Definitions of Key Terms</w:t>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Placement_Status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Classification performance of the XGBoost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Leadership_Experience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Academic_Performance through Interview_Score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XGBoost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XGBoost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SHapley Additive exPlanations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 xml:space="preserve">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(Yorke,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reconceptualising employability as the accumulation and mobilisation of several forms of graduate capital — human, social, cultural, identity and psychological (Tomlinson, 2017). Graduate employment outcomes are further understood to be jointly determined by human capital, social capital, individual behaviours, individual attributes and perceived employability, all situated within labour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certification profile and communication ability.</w:t>
      </w:r>
    </w:p>
    <w:p w:rsidR="006D5227" w:rsidRDefault="00D90561">
      <w:pPr>
        <w:spacing w:after="200" w:line="360" w:lineRule="auto"/>
        <w:jc w:val="both"/>
      </w:pPr>
      <w:r>
        <w:rPr>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individualised and actionable signals that students can respond to while they still have time to intervene in their own preparation.</w:t>
      </w:r>
    </w:p>
    <w:p w:rsidR="006D5227" w:rsidRDefault="00D90561">
      <w:pPr>
        <w:spacing w:after="200" w:line="360" w:lineRule="auto"/>
        <w:jc w:val="both"/>
      </w:pPr>
      <w:r>
        <w:rPr>
          <w:sz w:val="24"/>
          <w:szCs w:val="24"/>
        </w:rPr>
        <w:t xml:space="preserve">The Bangladeshi labour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labour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analysing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(Jony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programmes has expanded substantially over the last decade, but curricular revision cycles have not kept </w:t>
        <w:lastRenderedPageBreak/>
        <w:t xml:space="preserve">pace with the rate at which the demanded skill set is changing (Jony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 xml:space="preserve">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(Baffa et al., 2023; Haque et al., 2024; Mezhoudi et al., 2023). A considerable body of such work now exists for Nigeria, the Philippines, Malaysia, Egypt, Vietnam and India. Very little of it addresses Bangladesh, and none of it addresses the specific population of fresh CSE graduates entering the Bangladeshi ICT labour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 xml:space="preserve">Bangladesh presents an apparent paradox. Its ICT sector reports sustained and growing demand for software developers and allied technical roles (Jony et al., 2022), while its tertiary-educated population simultaneously records the highest unemployment rate of any educational stratum in the country, at 13.5 per cent (BBS, 2025). Both conditions cannot be explained by aggregate labour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 xml:space="preserve">Second, the international machine learning literature on employability prediction is not transferable to the Bangladeshi CSE context without substantial adaptation. Models have been developed on Nigerian, Filipino, Malaysian, Egyptian and Vietnamese cohorts (Baffa et al., 2023; Casuat &amp; Festijo, 2019; ElSharkawy et al., 2022; Haque et al., 2024; Othman et al., 2018; Vo et al., 2023), and datasets, feature sets, algorithms and evaluation protocols vary so widely across this literature that findings are not directly comparable, let alone directly portable (Mezhoudi et al., 2023). Labour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(Zulfiker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 xml:space="preserve">Third, prevailing modelling practice in this literature limits the practical usefulness of its outputs. Many studies optimise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rigour (Baffa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(Guo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 xml:space="preserve">1. RQ1. Which technical, academic, experiential and behavioural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analyse the major academic, technical, experiential, behavioural,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 xml:space="preserve">Empirically, the employability of Bangladeshi CSE graduates is under-researched relative to its economic importance. The international literature on machine learning-based employability prediction is concentrated in Nigeria, the Philippines, Malaysia, India, Egypt and Vietnam (Baffa et al., 2023; Casuat &amp; Festijo, 2019; ElSharkawy et al., 2022; Haque et al., 2024; Othman et al., 2018; Vo et al., 2023). Bangladeshi contributions to the adjacent educational data mining literature have addressed academic performance (Zulfiker et al., 2020) and broad career-type choice between government, private-sector and self-employment (Biswas et al., 2021), but not the employability of a discipline-specific graduate cohort. Since employability is theorised as context-dependent (Clarke, 2018; Tomlinson, 2017), a model trained on the labour market conditions, hiring conventions and curricular structures of another country cannot be assumed to generalise to Bangladesh. Generating national evidence is therefore not a replication exercise but a necessary condition for validity.</w:t>
      </w:r>
    </w:p>
    <w:p w:rsidR="006D5227" w:rsidRDefault="00D90561">
      <w:pPr>
        <w:spacing w:after="200" w:line="360" w:lineRule="auto"/>
        <w:jc w:val="both"/>
      </w:pPr>
      <w:r>
        <w:rPr>
          <w:sz w:val="24"/>
          <w:szCs w:val="24"/>
        </w:rPr>
        <w:t xml:space="preserve">Methodologically, this study responds directly to weaknesses that the reviewed literature itself identifies. The field suffers from inconsistent evaluation practice and requires context-specific models built on transparent protocols (Mezhoudi et al., 2023), and employability prediction models can encode bias with material consequences for the individuals classified (Guo et al., 2020). This study accordingly adopts imbalance-aware evaluation metrics and a documented, seeded and reproducible stratified hold-out protocol, together with a model-intrinsic explainability layer; per-prediction SHAP explanation is specified in the system design but is not implemented at this stage, as reported in Section 5.9. The combination of a Bangladesh-relevant CSE dataset, a multidimensional feature set spanning technical and non-technical attributes, and an explainability layer is, to the best of the researcher’s knowledge, not present in any existing study.</w:t>
      </w:r>
    </w:p>
    <w:p w:rsidR="006D5227" w:rsidRDefault="00D90561">
      <w:pPr>
        <w:spacing w:after="200" w:line="360" w:lineRule="auto"/>
        <w:jc w:val="both"/>
      </w:pPr>
      <w:r>
        <w:rPr>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characterisation of entry-level graduate readiness in the Bangladeshi market. Policymakers and sector bodies gain empirical grounding for national skills development and industry–academia collaboration programmes.</w:t>
      </w:r>
    </w:p>
    <w:p w:rsidR="006D5227" w:rsidRDefault="00D90561">
      <w:pPr>
        <w:spacing w:after="200" w:line="360" w:lineRule="auto"/>
        <w:jc w:val="both"/>
      </w:pPr>
      <w:r>
        <w:rPr>
          <w:sz w:val="24"/>
          <w:szCs w:val="24"/>
        </w:rPr>
        <w:lastRenderedPageBreak/>
        <w:t xml:space="preserve">The specific contributions claimed by this thesis are: (1) a machine learning model of fresh CSE graduate employability in Bangladesh, trained on a discipline-relevant secondary dataset — the Kaggle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programmes, and cognate programmes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labour market, with the largest concentration of both CSE programmes and ICT employers located in the Dhaka and Chattogram divisions (Jony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Kaggle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behaviour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Table 1.2 summarises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Fresh graduates (within 24 months of completion) of four-year CSE and cognate programmes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Findings framed for the Bangladeshi CSE labour market, concentrated in the Dhaka and Chattogram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Secondary dataset of 50,000 student records (Student Career Success Prediction Dataset, Kaggle)</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Six dimensions: academic performance; technical and programming proficiency; practical experience; certifications and self-directed learning; soft skills; career preparation behaviour</w:t>
            </w:r>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 xml:space="preserve">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(Yorke,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behaviour, career identity, and labour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 xml:space="preserve">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(Baffa et al., 2023). Decision Tree, Random Forest, and Support Vector Machine algorithms have been successfully used to model students’ employability outcomes based on training performance and grade point average (Casuat &amp; Festijo,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analyse the factors influencing employment outcomes across different educational contexts (García-Peñalvo et al., 2018). Fairness and bias should be carefully considered when developing graduate employment prediction models (Guo et al., 2020). Moreover, a comprehensive review of employability prediction studies revealed considerable variation in datasets, machine learning algorithms, feature selection methods, and evaluation techniques, emphasising the need for context-specific predictive models tailored to specific populations, such as fresh CSE graduates in Bangladesh (Mezhoudi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 xml:space="preserve">Literature was retrieved from IEEE Xplore, ScienceDirect, SpringerLink, MDPI, PLOS, Scopus-indexed journals and Google Scholar using combinations of the terms “graduate employability”, “employability prediction”, “machine learning”, “educational data mining”, “campus placement”, “skills gap”, “CSE graduates” and “Bangladesh”. Studies were included where they (i) reported empirical findings on graduate employability determinants, or (ii) applied machine learning or data mining techniques to predict employment or placement outcomes for tertiary students, or (iii) provided labour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organised.</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 xml:space="preserve">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(Yorke, 2006). The central and still-underappreciated contribution of this stage is the analytical separation of employability from employment: employability is a propensity, whereas employment is an outcome contingent on labour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labour-demand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labour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theorised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 xml:space="preserve">The third stage relocates employability within the labour market itself. Employment outcomes are determined jointly by human capital, social capital, individual behaviours, individual attributes and perceived employability, all mediated by labour market conditions and employer recruitment practices (Clarke, 2018). This contribution is the explicit refusal of the individualisation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(Yorke,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labour demand. Roughly one in three unemployed </w:t>
        <w:lastRenderedPageBreak/>
        <w:t xml:space="preserve">graduates remained without work for up to two years, a duration associated in the labour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realised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 xml:space="preserve">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(Zulfiker et al., 2020); the target variable there is academic rather than labour market outcome, so the study addresses a different construct entirely. Neither study incorporates technical skills, portfolio evidence, certifications or internship experience, and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 xml:space="preserve">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(Casuat &amp; Festijo,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generalises across educational levels while remaining, in a two-page conference format, largely a proof of concept (Dubey &amp; Mani, 2019).</w:t>
      </w:r>
    </w:p>
    <w:p w:rsidR="006D5227" w:rsidRDefault="00D90561">
      <w:pPr>
        <w:spacing w:after="200" w:line="360" w:lineRule="auto"/>
        <w:jc w:val="both"/>
      </w:pPr>
      <w:r>
        <w:rPr>
          <w:sz w:val="24"/>
          <w:szCs w:val="24"/>
        </w:rPr>
        <w:t xml:space="preserve">The most widely cited recent single-classifier study reports Random Forest accuracy of approximately 98 per cent in predicting full-time employability of Nigerian graduates from CGPA, industrial work experience, co-curricular activity, gender and union membership across 218 records (Baffa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scepticism: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 xml:space="preserve">The more recent literature has converged on ensemble methods. An optimised bagging framework, OPT-BAG, was proposed for student employability prediction and demonstrated performance improvements over individual base learners through systematic hyperparameter optimisation (Vo et al.,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(Haque et al., 2024). Stacking ensembles have been evaluated for post-internship employability prediction with repeated k-fold cross-validation, reporting approximately 91 per cent accuracy and identifying internship duration as a leading predictor (Kahlik &amp; Al-Hababi,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characterise contemporary software hiring (ElSharkawy et al., 2022).</w:t>
      </w:r>
    </w:p>
    <w:p w:rsidR="006D5227" w:rsidRDefault="00D90561">
      <w:pPr>
        <w:spacing w:after="200" w:line="360" w:lineRule="auto"/>
        <w:jc w:val="both"/>
      </w:pPr>
      <w:r>
        <w:rPr>
          <w:sz w:val="24"/>
          <w:szCs w:val="24"/>
        </w:rPr>
        <w:t xml:space="preserve">The consistent superiority of ensembles across these studies has a principled explanation. Employability data is tabular, of modest volume, mixed in type, and characterised by interactions and non-linear thresholds — a graduate benefits disproportionately from the first internship rather than the third, and technical skill interacts with communication ability rather than adding to it independently. Tree-based ensembles such as Random Forest (Breiman, 2001) and gradient boosting (Chen &amp; Guestrin,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lastRenderedPageBreak/>
        <w:t xml:space="preserve">— single-classifier institutional-record studies, advanced ensemble and optimisation studies, and Bangladeshi educational data-mining studies. Studies that stand alone in their category — the conceptual framework proposal of García-Peñalvo et al. (2018), the high-accuracy but thinly-reported tree-ensemble study of Baffa et al. (2023), the fairness-focused analysis of Guo et al. (2020), and the systematic review of Mezhoudi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 xml:space="preserve">Casuat &amp; Festijo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Optimisation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optimised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optimisation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explainability or fairness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lastRenderedPageBreak/>
              <w:t xml:space="preserve">Haque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 xml:space="preserve">Kahlik &amp; Al-Hababi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r>
              <w:rPr>
                <w:sz w:val="22"/>
                <w:szCs w:val="22"/>
              </w:rPr>
              <w:t xml:space="preserve">ElSharkawy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labour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r>
              <w:rPr>
                <w:sz w:val="22"/>
                <w:szCs w:val="22"/>
              </w:rPr>
              <w:t xml:space="preserve">Zulfiker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labour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 xml:space="preserve">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(Casuat &amp; Festijo, 2019; Othman et al., 2018; Dubey &amp; Mani, </w:t>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 xml:space="preserve">The advanced ensemble and optimisation studies of Group B represent the current methodological frontier and are the closest precedents to the present study’s own approach. All four move beyond single classifiers to systematic ensemble design, hyperparameter tuning, or feature selection (Vo et al., 2023; Haque et al., 2024; Kahlik &amp; Al-Hababi, 2024; ElSharkawy et al., 2022), and the repeated k-fold cross-validation of Kahlik and Al-Hababi (2024) is the most rigorous validation protocol in the reviewed set. The four differ in emphasis — the ensemble architecture itself (Vo et al., 2023), feature selection as a first-order decision (Haque et al., 2024), a post-internship cohort (Kahlik &amp; Al-Hababi, 2024), and disciplinary (IT) specificity (ElSharkawy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 xml:space="preserve">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(García-Peñalvo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(Baffa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lastRenderedPageBreak/>
        <w:t xml:space="preserve">including the present one; it is acknowledged here as a limitation and a direction for future research rather than a resolved concern (Guo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(Mezhoudi et al., 2023).</w:t>
      </w:r>
    </w:p>
    <w:p w:rsidR="006D5227" w:rsidRDefault="00D90561">
      <w:pPr>
        <w:spacing w:after="200" w:line="360" w:lineRule="auto"/>
        <w:jc w:val="both"/>
      </w:pPr>
      <w:r>
        <w:rPr>
          <w:sz w:val="24"/>
          <w:szCs w:val="24"/>
        </w:rPr>
        <w:t xml:space="preserve">The Bangladeshi studies of Group C are the geographically closest precedents, but both predict a different construct: academic performance in one case (Zulfiker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behavioural attributes used here; no study pairs ensemble prediction with an interpretability layer; and only the two Bangladeshi studies address the national context at all, and neither on the employability construct itself. This pattern, rather than any single study, is what Section 2.7 formalises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 xml:space="preserve">ML employability models exist for Nigeria, the Philippines, Malaysia, Egypt and Vietnam (Baffa et al., 2023; Casuat &amp; Festijo, 2019; ElSharkawy et al., 2022; Haque et al., 2024; Othman et al., 2018; Vo et al., 2023) but not for Bangladesh; Bangladeshi work targets academic performance (Zulfiker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 xml:space="preserve">Studies confined to institutional records report only academic predictors (Casuat &amp; Festijo, 2019; Othman et al., 2018); those including experiential variables find them dominant (Baffa et al., 2023; Kahlik &amp; Al-Hababi,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behaviour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 xml:space="preserve">Wide heterogeneity in evaluation protocols is documented (Mezhoudi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 xml:space="preserve">Employment prediction models can encode bias (Guo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r>
        <w:rPr>
          <w:sz w:val="24"/>
          <w:szCs w:val="24"/>
        </w:rPr>
        <w:t xml:space="preserve">Synthesising the theoretical and empirical literature, this study adopts a conceptual framework in which the employment outcome of a fresh CSE graduate is modelled as a function of six input dimensions, each grounded in the reviewed literature. Academic performance, operationalised as CGPA, corresponds to the human capital component of the graduate-capital framework and is the most frequently modelled predictor in prior work (Casuat &amp; Festijo, 2019; Othman et al., 2018; Tomlinson, 2017). Technical and programming proficiency reflects the demand-side evidence on required ICT skills in Bangladesh (Jony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behaviour and industry exposure operationalise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Labour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734050" cy="3390627"/>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734050" cy="3390627"/>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 xml:space="preserve">How the Incremental Model works :</w:t>
      </w:r>
      <w:r>
        <w:rPr>
          <w:sz w:val="24"/>
          <w:szCs w:val="24"/>
        </w:rPr>
        <w:t xml:space="preserve"> Development begins from an outline description of the system’s requirements rather than a complete, frozen specification. The requirements are then prioritised,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lastRenderedPageBreak/>
        <w:t xml:space="preserve">how the model’s outputs should best be exposed to a user. These decisions could only be made responsibly after real data had been collected, cleaned and analysed.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organised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4867275" cy="100817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4867275" cy="1008170"/>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Kaggle),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XGBoost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w:t>
      </w:r>
      <w:r>
        <w:rPr>
          <w:sz w:val="24"/>
          <w:szCs w:val="24"/>
        </w:rPr>
        <w:t xml:space="preserve"> Decision Tree, Random Forest, Support Vector Machine and XGBoost classifiers were planned for training under a common protocol, with model selection based on F1-score and minority-class recall rather than accuracy alone. Of these, only XGBoost was trained and evaluated within the project timeframe, using a single stratified 80:20 hold-out partition with fixed hyperparameters rather than a tuned k-fold protocol. The comparative element of this increment is therefore incomplete; Section 5.8 </w:t>
        <w:lastRenderedPageBreak/>
        <w:t xml:space="preserve">sets out the reasoned basis for the XGBoost selection and Section 6.3 specifies the comparison required to complete it.</w:t>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operationalises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 xml:space="preserve">This chapter sets out the research design of the project: how the study was organised,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centre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realised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operationalises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organised,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 xml:space="preserve">At the centre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summarised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specialised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6038428" cy="4038600"/>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6041143" cy="4040416"/>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953125" cy="3332583"/>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953125" cy="3332583"/>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lastRenderedPageBreak/>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analysed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 xml:space="preserve">The model was developed on the Student Career Success Prediction Dataset obtained from Kaggle (Fatimah, 2026), used in this study in the cleaned form student_career_success_dataset_cleaned.csv.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(Kaggle)</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r>
              <w:rPr>
                <w:sz w:val="22"/>
                <w:szCs w:val="22"/>
              </w:rPr>
              <w:t>Placement_Status</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r>
              <w:rPr>
                <w:sz w:val="22"/>
                <w:szCs w:val="22"/>
              </w:rPr>
              <w:t>drop_duplicates()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analysed in Section 5.4 and which directly motivates the rebalancing and threshold decisions documented in Sections 5.6 and 5.7.</w:t>
      </w:r>
    </w:p>
    <w:p w:rsidR="006D5227" w:rsidRDefault="00D90561">
      <w:pPr>
        <w:spacing w:after="200" w:line="360" w:lineRule="auto"/>
        <w:jc w:val="both"/>
      </w:pPr>
      <w:r>
        <w:rPr>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test_size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colour because they are primary evidence of the data </w:t>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57037" cy="2203450"/>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57848" cy="2203766"/>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5.1: Loaded dataset, columns Age through Leadership_Experience</w:t>
      </w:r>
    </w:p>
    <w:p w:rsidR="006D5227" w:rsidRDefault="00D90561">
      <w:pPr>
        <w:keepNext/>
        <w:spacing w:after="120"/>
        <w:jc w:val="center"/>
      </w:pPr>
      <w:r>
        <w:rPr>
          <w:noProof/>
        </w:rPr>
        <w:drawing>
          <wp:inline distT="0" distB="0" distL="0" distR="0">
            <wp:extent cx="5505450" cy="2065655"/>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505450" cy="2065655"/>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5.2: Loaded dataset, columns Academic_Performance through Interview_Score</w:t>
      </w:r>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University_Year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programme (e.g. Computer Science, Software Engineering, Data Science, Cybersecurity, Artificial Intelligence, Information Technology, Business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Attendance_Percentage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LinkedIn_Profile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Study_Hours_Per_Week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15 of 18</w:t>
            </w:r>
          </w:p>
        </w:tc>
      </w:tr>
      <w:tr w:rsidR="006D5227">
        <w:trPr>
          <w:cantSplit/>
        </w:trPr>
        <w:tc>
          <w:tcPr>
            <w:tcW w:w="1980" w:type="dxa"/>
            <w:tcMar>
              <w:top w:w="80" w:type="dxa"/>
              <w:left w:w="100" w:type="dxa"/>
              <w:bottom w:w="80" w:type="dxa"/>
              <w:right w:w="100" w:type="dxa"/>
            </w:tcMar>
          </w:tcPr>
          <w:p w:rsidR="006D5227" w:rsidRDefault="00D90561">
            <w:r>
              <w:t>Academic_Performance</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10 of 18</w:t>
            </w:r>
          </w:p>
        </w:tc>
      </w:tr>
      <w:tr w:rsidR="006D5227">
        <w:trPr>
          <w:cantSplit/>
        </w:trPr>
        <w:tc>
          <w:tcPr>
            <w:tcW w:w="1980" w:type="dxa"/>
            <w:tcMar>
              <w:top w:w="80" w:type="dxa"/>
              <w:left w:w="100" w:type="dxa"/>
              <w:bottom w:w="80" w:type="dxa"/>
              <w:right w:w="100" w:type="dxa"/>
            </w:tcMar>
          </w:tcPr>
          <w:p w:rsidR="006D5227" w:rsidRDefault="00D90561">
            <w:r>
              <w:t>Programming_Skill</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2 of 18</w:t>
            </w:r>
          </w:p>
        </w:tc>
      </w:tr>
      <w:tr w:rsidR="006D5227">
        <w:trPr>
          <w:cantSplit/>
        </w:trPr>
        <w:tc>
          <w:tcPr>
            <w:tcW w:w="1980" w:type="dxa"/>
            <w:tcMar>
              <w:top w:w="80" w:type="dxa"/>
              <w:left w:w="100" w:type="dxa"/>
              <w:bottom w:w="80" w:type="dxa"/>
              <w:right w:w="100" w:type="dxa"/>
            </w:tcMar>
          </w:tcPr>
          <w:p w:rsidR="006D5227" w:rsidRDefault="00D90561">
            <w:r>
              <w:t>Projects_Completed</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7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5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GitHub_Profile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14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r>
              <w:t>Leadership_Experience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behavioural attribute; rank 18 of 18</w:t>
            </w:r>
          </w:p>
        </w:tc>
      </w:tr>
      <w:tr w:rsidR="006D5227">
        <w:trPr>
          <w:cantSplit/>
        </w:trPr>
        <w:tc>
          <w:tcPr>
            <w:tcW w:w="1980" w:type="dxa"/>
            <w:tcMar>
              <w:top w:w="80" w:type="dxa"/>
              <w:left w:w="100" w:type="dxa"/>
              <w:bottom w:w="80" w:type="dxa"/>
              <w:right w:w="100" w:type="dxa"/>
            </w:tcMar>
          </w:tcPr>
          <w:p w:rsidR="006D5227" w:rsidRDefault="00D90561">
            <w:r>
              <w:t>Resume_Score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r>
              <w:t>Communication_Skills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11 of 18</w:t>
            </w:r>
          </w:p>
        </w:tc>
      </w:tr>
      <w:tr w:rsidR="006D5227">
        <w:trPr>
          <w:cantSplit/>
        </w:trPr>
        <w:tc>
          <w:tcPr>
            <w:tcW w:w="1980" w:type="dxa"/>
            <w:tcMar>
              <w:top w:w="80" w:type="dxa"/>
              <w:left w:w="100" w:type="dxa"/>
              <w:bottom w:w="80" w:type="dxa"/>
              <w:right w:w="100" w:type="dxa"/>
            </w:tcMar>
          </w:tcPr>
          <w:p w:rsidR="006D5227" w:rsidRDefault="00D90561">
            <w:r>
              <w:lastRenderedPageBreak/>
              <w:t>Problem_Solving</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3 of 18</w:t>
            </w:r>
          </w:p>
        </w:tc>
      </w:tr>
      <w:tr w:rsidR="006D5227">
        <w:trPr>
          <w:cantSplit/>
        </w:trPr>
        <w:tc>
          <w:tcPr>
            <w:tcW w:w="1980" w:type="dxa"/>
            <w:tcMar>
              <w:top w:w="80" w:type="dxa"/>
              <w:left w:w="100" w:type="dxa"/>
              <w:bottom w:w="80" w:type="dxa"/>
              <w:right w:w="100" w:type="dxa"/>
            </w:tcMar>
          </w:tcPr>
          <w:p w:rsidR="006D5227" w:rsidRDefault="00D90561">
            <w:r>
              <w:t>English_Proficiency</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12 of 18</w:t>
            </w:r>
          </w:p>
        </w:tc>
      </w:tr>
      <w:tr w:rsidR="006D5227">
        <w:trPr>
          <w:cantSplit/>
        </w:trPr>
        <w:tc>
          <w:tcPr>
            <w:tcW w:w="1980" w:type="dxa"/>
            <w:tcMar>
              <w:top w:w="80" w:type="dxa"/>
              <w:left w:w="100" w:type="dxa"/>
              <w:bottom w:w="80" w:type="dxa"/>
              <w:right w:w="100" w:type="dxa"/>
            </w:tcMar>
          </w:tcPr>
          <w:p w:rsidR="006D5227" w:rsidRDefault="00D90561">
            <w:r>
              <w:t>Interview_Score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9 of 18</w:t>
            </w:r>
          </w:p>
        </w:tc>
      </w:tr>
      <w:tr w:rsidR="006D5227">
        <w:trPr>
          <w:cantSplit/>
        </w:trPr>
        <w:tc>
          <w:tcPr>
            <w:tcW w:w="1980" w:type="dxa"/>
            <w:tcMar>
              <w:top w:w="80" w:type="dxa"/>
              <w:left w:w="100" w:type="dxa"/>
              <w:bottom w:w="80" w:type="dxa"/>
              <w:right w:w="100" w:type="dxa"/>
            </w:tcMar>
          </w:tcPr>
          <w:p w:rsidR="006D5227" w:rsidRDefault="00D90561">
            <w:r>
              <w:t>Overall_Preparedness_Index</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Composite index computed as (Interview_Score × 0.7) + (Internships × 0.3).</w:t>
            </w:r>
          </w:p>
        </w:tc>
        <w:tc>
          <w:tcPr>
            <w:tcW w:w="2627" w:type="dxa"/>
            <w:tcMar>
              <w:top w:w="80" w:type="dxa"/>
              <w:left w:w="100" w:type="dxa"/>
              <w:bottom w:w="80" w:type="dxa"/>
              <w:right w:w="100" w:type="dxa"/>
            </w:tcMar>
          </w:tcPr>
          <w:p w:rsidR="006D5227" w:rsidRDefault="00D90561">
            <w:r>
              <w:t>Retained — composite readiness; rank 16 of 18</w:t>
            </w:r>
          </w:p>
        </w:tc>
      </w:tr>
      <w:tr w:rsidR="006D5227">
        <w:trPr>
          <w:cantSplit/>
        </w:trPr>
        <w:tc>
          <w:tcPr>
            <w:tcW w:w="1980" w:type="dxa"/>
            <w:tcMar>
              <w:top w:w="80" w:type="dxa"/>
              <w:left w:w="100" w:type="dxa"/>
              <w:bottom w:w="80" w:type="dxa"/>
              <w:right w:w="100" w:type="dxa"/>
            </w:tcMar>
          </w:tcPr>
          <w:p w:rsidR="006D5227" w:rsidRDefault="00D90561">
            <w:r>
              <w:t>Skills_per_Project</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Programming_Skill ÷ (Projects_Completed + 1).</w:t>
            </w:r>
          </w:p>
        </w:tc>
        <w:tc>
          <w:tcPr>
            <w:tcW w:w="2627" w:type="dxa"/>
            <w:tcMar>
              <w:top w:w="80" w:type="dxa"/>
              <w:left w:w="100" w:type="dxa"/>
              <w:bottom w:w="80" w:type="dxa"/>
              <w:right w:w="100" w:type="dxa"/>
            </w:tcMar>
          </w:tcPr>
          <w:p w:rsidR="006D5227" w:rsidRDefault="00D90561">
            <w:r>
              <w:t>Retained — composite productivity; rank 17 of 18</w:t>
            </w:r>
          </w:p>
        </w:tc>
      </w:tr>
      <w:tr w:rsidR="006D5227">
        <w:trPr>
          <w:cantSplit/>
        </w:trPr>
        <w:tc>
          <w:tcPr>
            <w:tcW w:w="1980" w:type="dxa"/>
            <w:tcMar>
              <w:top w:w="80" w:type="dxa"/>
              <w:left w:w="100" w:type="dxa"/>
              <w:bottom w:w="80" w:type="dxa"/>
              <w:right w:w="100" w:type="dxa"/>
            </w:tcMar>
          </w:tcPr>
          <w:p w:rsidR="006D5227" w:rsidRDefault="00D90561">
            <w:r>
              <w:t>Placement_Status</w:t>
            </w:r>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six excluded attributes were removed before training as a deliberate design decision rather than as a consequence of data quality. Age, Gender, University_Year and Major are demographic or contextual descriptors over which a student has no control at the point of intervention; retaining them would allow the model to encode group membership rather than modifiable preparation behaviour, and would risk exactly the subgroup bias identified as research gap G5 in Section 2.7. Attendance_Percentage and LinkedIn_Profile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 xml:space="preserve">Two composite features were then constructed. Overall_Preparedness_Index combines interview performance and industry exposure into a single weighted readiness measure, with the larger weight placed on interview performance. Skills_per_Project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lastRenderedPageBreak/>
        <w:t xml:space="preserve">Note on completeness. </w:t>
      </w:r>
      <w:r>
        <w:rPr>
          <w:sz w:val="24"/>
          <w:szCs w:val="24"/>
        </w:rPr>
        <w:t xml:space="preserve">The pipeline applies drop_duplicates()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 xml:space="preserve">Preprocessing was carried out as specified in Increment 2 (Section 3.3) and the data-preprocessing stage of the pipeline (Section 4.2), and was implemented as a scikit-learn ColumnTransformer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standardised with StandardScaler to zero mean and unit variance, so that attributes measured on different scales — CGPA on a four-point scale, Resume_Score on a hundred-point scale, Internships as a small count — contribute on a common footing. The 4 categorical features were imputed with the training-set mode and encoded with OneHotEncoder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outliers characteristic of count attributes such as Certifications and Hackathons, where a small number of unusually high values would pull a mean-based imputation upward and systematically overstate the preparation of students whose data is incomplete. Standardisation, </w:t>
        <w:lastRenderedPageBreak/>
        <w:t xml:space="preserve">although not required by tree-based learners such as XGBoost,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 xml:space="preserve">Table 5.3: Distribution of the target variable Placement_Status</w:t>
      </w:r>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lastRenderedPageBreak/>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minimises its loss most efficiently by fitting the majority class well and tolerating errors on the minority. The minority class here is precisely the population the system exists to identify: graduates at risk of non-</w:t>
        <w:lastRenderedPageBreak/>
        <w:t>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 xml:space="preserve">Two complementary corrections were therefore applied, both documented in Section 5.6. SMOTE (Chawla et al., 2002) was inserted into the pipeline to synthesise additional minority-class instances within the training folds only, and the XGBoost objective was additionally weighted through the scale_pos_weight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t>5.5 Training and Testing Strategy: The 80:20 Split</w:t>
      </w:r>
    </w:p>
    <w:p w:rsidR="006D5227" w:rsidRDefault="00D90561">
      <w:pPr>
        <w:spacing w:after="200" w:line="360" w:lineRule="auto"/>
        <w:jc w:val="both"/>
      </w:pPr>
      <w:r>
        <w:rPr>
          <w:sz w:val="24"/>
          <w:szCs w:val="24"/>
        </w:rPr>
        <w:t xml:space="preserve">The dataset was partitioned into training and testing subsets using the standard 80:20 ratio, implemented with train_test_split configured with test_size = 0.2, random_state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lastRenderedPageBreak/>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criticised in Section 2.6. Third, the ratio is the convention across the employability prediction literature reviewed in Chapter 2, so results reported here remain directly comparable with that body of work.</w:t>
      </w:r>
    </w:p>
    <w:p w:rsidR="006D5227" w:rsidRDefault="00D90561">
      <w:pPr>
        <w:spacing w:after="200" w:line="360" w:lineRule="auto"/>
        <w:jc w:val="both"/>
      </w:pPr>
      <w:r>
        <w:rPr>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random_state = 42 was set both for the split and for SMOTE and the XGBoost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 xml:space="preserve">Note on validation strategy. </w:t>
      </w:r>
      <w:r>
        <w:rPr>
          <w:sz w:val="24"/>
          <w:szCs w:val="24"/>
        </w:rPr>
        <w:t>The executed pipeline uses a single stratified hold-out split rather than k-fold cross-validation. A single split is defensible at n = 50,000 because the evaluation sample is large enough for stable estimates, but k-fold cross-validation would provide variance estimates across folds and is recommended as an extension in Section 6.3.</w:t>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deduplicated,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scikit-learn pipeline </w:t>
        <w:lastRenderedPageBreak/>
        <w:t xml:space="preserve">object comprising two steps executed in order: the ColumnTransformer preprocessing of Section 5.3 and the XGBoost classifier. An earlier configuration inserted a SMOTE oversampling step and an XGBoost scale_pos_weight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100 boosting rounds, a learning rate of 0.05, a maximum tree depth of 3, a subsample ratio of 1.0, a column-sample ratio of 0.8,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XGBoost scale_pos_weight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favour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expose the trade-off between false positives and false negatives, and the F1-score summarises that trade-off in a single balanced figure. Reporting all of them per class, together with the </w:t>
        <w:lastRenderedPageBreak/>
        <w:t xml:space="preserve">confusion matrix, directly addresses the evaluation weakness identified across the reviewed literature, in which studies reported headline accuracy without minority-class recall (Baffa et al., 2023; Mezhoudi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 xml:space="preserve">Table 5.5: Classification performance of the tuned XGBoost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 xml:space="preserve">Figure 5.8: Confusion matrix for the tuned XGBoost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The confusion matrix reconciles exactly with Table 5.5 and is the most informative single result in this chapter. Of the 7,808 genuinely employable graduates, 7,391 were correctly identified 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Default="00D90561">
      <w:pPr>
        <w:spacing w:after="200" w:line="360" w:lineRule="auto"/>
        <w:jc w:val="both"/>
      </w:pPr>
      <w:r>
        <w:rPr>
          <w:b/>
          <w:bCs/>
          <w:sz w:val="24"/>
          <w:szCs w:val="24"/>
        </w:rPr>
        <w:t>Interpretation. These results must be read against the configuration change documented in Section 5.6.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hyperparameters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and the choice between them is a decision about the relative cost of a missed at-risk graduate versus a false alarm, not a question that accuracy alone can settle. Section 5.14 returns to this trade-off when discussing which configuration is appropriate for deployment.</w:t>
      </w:r>
      <w:r>
        <w:rPr>
          <w:sz w:val="24"/>
          <w:szCs w:val="24"/>
        </w:rPr>
      </w:r>
    </w:p>
    <w:p w:rsidR="006D5227" w:rsidRDefault="00D90561">
      <w:pPr>
        <w:spacing w:after="200" w:line="360" w:lineRule="auto"/>
        <w:jc w:val="both"/>
      </w:pPr>
      <w:r>
        <w:rPr>
          <w:sz w:val="24"/>
          <w:szCs w:val="24"/>
        </w:rPr>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 xml:space="preserve">The mechanism behind the earlier configuration's over-correction is identifiable from the implementation itself. SMOTE rebalanced the training distribution to parity, scale_pos_weight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Default="00D90561">
      <w:pPr>
        <w:spacing w:after="200" w:line="360" w:lineRule="auto"/>
        <w:jc w:val="both"/>
      </w:pPr>
      <w:r>
        <w:rPr>
          <w:b/>
          <w:bCs/>
          <w:sz w:val="24"/>
          <w:szCs w:val="24"/>
        </w:rPr>
        <w:t>ROC-AUC. 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visualisation of the two under class imbalance, was not plotted and is recommended in Section 6.3 as a low-cost extension that would let a practitioner choose a deployment threshold other than 0.50 or 0.35 with the trade-off made explicit.</w:t>
      </w:r>
      <w:r>
        <w:rPr>
          <w:sz w:val="24"/>
          <w:szCs w:val="24"/>
        </w:rPr>
      </w:r>
    </w:p>
    <w:p w:rsidR="006D5227" w:rsidRDefault="00D90561">
      <w:pPr>
        <w:pStyle w:val="Heading2"/>
        <w:keepNext/>
        <w:keepLines/>
        <w:spacing w:before="240" w:after="160"/>
      </w:pPr>
      <w:r>
        <w:rPr>
          <w:b/>
          <w:bCs/>
          <w:sz w:val="24"/>
          <w:szCs w:val="24"/>
        </w:rPr>
        <w:t xml:space="preserve">5.8 Justification of XGBoost and Comparison with Alternative Algorithms</w:t>
      </w:r>
    </w:p>
    <w:p w:rsidR="006D5227" w:rsidRDefault="00D90561">
      <w:pPr>
        <w:spacing w:after="200" w:line="360" w:lineRule="auto"/>
        <w:jc w:val="both"/>
      </w:pPr>
      <w:r>
        <w:rPr>
          <w:sz w:val="24"/>
          <w:szCs w:val="24"/>
        </w:rPr>
        <w:t xml:space="preserve">XGBoost was selected as the modelling algorithm for this study on the basis of the argument developed in Section 2.5.2 and the characteristics of the data described in Sections 5.1 to 5.4. This section sets out that justification in full, compares XGBoost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 xml:space="preserve">The pipeline executed for this study trains and evaluates Logistic Regression, Decision Tree, Random Forest and XGBoost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XGBoost on this dataset. XGBoost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Assumes additive, linear log-odds; cannot represent interactions between skill and experience attributes without manual specification; minority-class recall (0.358) is comparable to, not better than, XGBoost.</w:t>
            </w:r>
          </w:p>
        </w:tc>
      </w:tr>
      <w:tr w:rsidR="006D5227">
        <w:trPr>
          <w:cantSplit/>
        </w:trPr>
        <w:tc>
          <w:tcPr>
            <w:tcW w:w="1500" w:type="dxa"/>
            <w:tcMar>
              <w:top w:w="80" w:type="dxa"/>
              <w:left w:w="100" w:type="dxa"/>
              <w:bottom w:w="80" w:type="dxa"/>
              <w:right w:w="100" w:type="dxa"/>
            </w:tcMar>
          </w:tcPr>
          <w:p w:rsidR="006D5227" w:rsidRDefault="00D90561">
            <w:r>
              <w:rPr>
                <w:sz w:val="18"/>
                <w:szCs w:val="18"/>
              </w:rPr>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 xml:space="preserve">High variance; a single tree (max_depth=6)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importances.</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r>
              <w:rPr>
                <w:sz w:val="18"/>
                <w:szCs w:val="18"/>
              </w:rPr>
              <w:t xml:space="preserve">XGBoost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Sequential boosting corrects prior errors; captures non-linearity and interactions automatically; L1/L2 regularisation and depth limits control overfitting; native feature importances; hyperparameters cross-validated via RandomizedSearchCV;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hyperparameter choice; on this dataset, tuned Logistic Regression matched or marginally exceeded it on accuracy and AUC, so the choice of XGBoost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XGBoost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Guestrin, 2016; Haque et al., 2024; Vo et al., </w:t>
        <w:lastRenderedPageBreak/>
        <w:t>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regularisation and overfitting control: XGBoost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analysed in Section 5.10 supplies the interpretability layer on which the study’s principal substantive finding depends.</w:t>
      </w:r>
    </w:p>
    <w:p w:rsidR="006D5227" w:rsidRDefault="00D90561">
      <w:pPr>
        <w:spacing w:after="200" w:line="360" w:lineRule="auto"/>
        <w:jc w:val="both"/>
      </w:pPr>
      <w:r>
        <w:rPr>
          <w:sz w:val="24"/>
          <w:szCs w:val="24"/>
        </w:rPr>
        <w:t>Two qualifications are necessary and are stated deliberately rather than omitted. The first is that these six properties are reasons to expect XGBoost to perform well on data of this kind; Section 5.7 confirms this only partially, since tuned Logistic Regression achieved marginally higher accuracy (0.8196 versus 0.8170) and AUC (0.8094 versus 0.8068) on this dataset, and the two most complex algorithms tested — Random Forest and XGBoost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XGBoost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lastRenderedPageBreak/>
        <w:t>5.9 System Implementation and Output: Prediction via API</w:t>
      </w:r>
    </w:p>
    <w:p w:rsidR="006D5227" w:rsidRDefault="00D90561">
      <w:pPr>
        <w:spacing w:after="200" w:line="360" w:lineRule="auto"/>
        <w:jc w:val="both"/>
      </w:pPr>
      <w:r>
        <w:rPr>
          <w:sz w:val="24"/>
          <w:szCs w:val="24"/>
        </w:rPr>
        <w:t>The selected model was made operational as a documented HTTP API so that its predictions could be consumed directly. In addition to the API itself, a local single-page web view (webview.html)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joblib as best_employability_pipeline.pkl and label_encoder.pkl respectively, so the exact fitted artefacts evaluated in Section 5.7 are those served at prediction time. Per-record predictions and predicted probabilities for the full test partition are exported as improved_placement_predictions.csv, and the headline metrics as improved_final_metrics.json.</w:t>
      </w:r>
    </w:p>
    <w:p w:rsidR="006D5227" w:rsidRDefault="00D90561">
      <w:pPr>
        <w:spacing w:after="200" w:line="360" w:lineRule="auto"/>
        <w:jc w:val="both"/>
      </w:pPr>
      <w:r>
        <w:rPr>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XGBoost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Default="00D90561">
      <w:pPr>
        <w:spacing w:after="200" w:line="360" w:lineRule="auto"/>
        <w:jc w:val="both"/>
      </w:pPr>
      <w:r>
        <w:rPr>
          <w:b/>
          <w:bCs/>
          <w:sz w:val="24"/>
          <w:szCs w:val="24"/>
        </w:rPr>
        <w:t xml:space="preserve">Note on Figure 5.11. </w:t>
      </w:r>
      <w:r>
        <w:rPr>
          <w:i/>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w:t>
        <w:lastRenderedPageBreak/>
        <w:t xml:space="preserve">including soft_skill_rating, applications_submitted and interviews_attended, which do not correspond to attributes of the dataset documented in Table 5.2 — and the base_rate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Default="00D90561">
      <w:pPr>
        <w:pStyle w:val="Heading2"/>
        <w:keepNext/>
        <w:keepLines/>
        <w:spacing w:before="240" w:after="160"/>
      </w:pPr>
      <w:r>
        <w:rPr>
          <w:sz w:val="24"/>
        </w:rPr>
        <w:t>Local Web View for Interactive Predictions</w:t>
      </w:r>
    </w:p>
    <w:p w:rsidR="006D5227" w:rsidRDefault="00D90561">
      <w:pPr>
        <w:keepNext/>
        <w:keepLines/>
        <w:spacing w:before="240" w:after="160"/>
      </w:pPr>
      <w:r>
        <w:t>To make the API usable without a separate HTTP client, a self-contained local web page (webview.html) was built alongside the FastAPI service. The page is opened directly in a browser from the local file system and calls the same /predict endpoint documented above — the FastAPI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Default="00D90561">
      <w:pPr>
        <w:pStyle w:val="Heading2"/>
        <w:keepNext/>
        <w:keepLines/>
        <w:spacing w:before="240" w:after="160"/>
        <w:jc w:val="center"/>
      </w:pPr>
      <w:r>
        <w:drawing>
          <wp:inline xmlns:a="http://schemas.openxmlformats.org/drawingml/2006/main" xmlns:pic="http://schemas.openxmlformats.org/drawingml/2006/picture">
            <wp:extent cx="5303520" cy="2651760"/>
            <wp:docPr id="32" name="Picture 32"/>
            <wp:cNvGraphicFramePr>
              <a:graphicFrameLocks noChangeAspect="1"/>
            </wp:cNvGraphicFramePr>
            <a:graphic>
              <a:graphicData uri="http://schemas.openxmlformats.org/drawingml/2006/picture">
                <pic:pic>
                  <pic:nvPicPr>
                    <pic:cNvPr id="0" name="webview_screenshot_form.png"/>
                    <pic:cNvPicPr/>
                  </pic:nvPicPr>
                  <pic:blipFill>
                    <a:blip r:embed="rId33"/>
                    <a:stretch>
                      <a:fillRect/>
                    </a:stretch>
                  </pic:blipFill>
                  <pic:spPr>
                    <a:xfrm>
                      <a:off x="0" y="0"/>
                      <a:ext cx="5303520" cy="2651760"/>
                    </a:xfrm>
                    <a:prstGeom prst="rect"/>
                  </pic:spPr>
                </pic:pic>
              </a:graphicData>
            </a:graphic>
          </wp:inline>
        </w:drawing>
      </w:r>
    </w:p>
    <w:p w:rsidR="006D5227" w:rsidRDefault="00D90561">
      <w:pPr>
        <w:keepNext/>
        <w:keepLines/>
        <w:spacing w:before="240" w:after="160"/>
      </w:pPr>
      <w:r>
        <w:t>Figure 5.11a: The local web view's profile-submission form, showing its idle result panel before a check is run</w:t>
      </w:r>
    </w:p>
    <w:p w:rsidR="006D5227" w:rsidRDefault="00D90561">
      <w:pPr>
        <w:keepNext/>
        <w:keepLines/>
        <w:spacing w:before="240" w:after="160"/>
      </w:pPr>
      <w:r>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drawing>
          <wp:inline xmlns:a="http://schemas.openxmlformats.org/drawingml/2006/main" xmlns:pic="http://schemas.openxmlformats.org/drawingml/2006/picture">
            <wp:extent cx="5303520" cy="4356463"/>
            <wp:docPr id="33" name="Picture 33"/>
            <wp:cNvGraphicFramePr>
              <a:graphicFrameLocks noChangeAspect="1"/>
            </wp:cNvGraphicFramePr>
            <a:graphic>
              <a:graphicData uri="http://schemas.openxmlformats.org/drawingml/2006/picture">
                <pic:pic>
                  <pic:nvPicPr>
                    <pic:cNvPr id="0" name="webview_screenshot_result.png"/>
                    <pic:cNvPicPr/>
                  </pic:nvPicPr>
                  <pic:blipFill>
                    <a:blip r:embed="rId34"/>
                    <a:stretch>
                      <a:fillRect/>
                    </a:stretch>
                  </pic:blipFill>
                  <pic:spPr>
                    <a:xfrm>
                      <a:off x="0" y="0"/>
                      <a:ext cx="5303520" cy="4356463"/>
                    </a:xfrm>
                    <a:prstGeom prst="rect"/>
                  </pic:spPr>
                </pic:pic>
              </a:graphicData>
            </a:graphic>
          </wp:inline>
        </w:drawing>
      </w:r>
    </w:p>
    <w:p w:rsidR="006D5227" w:rsidRDefault="00D90561">
      <w:pPr>
        <w:keepNext/>
        <w:keepLines/>
        <w:spacing w:before="240" w:after="160"/>
      </w:pPr>
      <w:r>
        <w:t>Figure 5.11b: The local web view after a submission, showing the verdict badge, probability gauge and gap-analysis list for a weak profile</w:t>
      </w:r>
    </w:p>
    <w:p w:rsidR="006D5227" w:rsidRDefault="00D90561">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XGBoost estimator’s native feature_importances_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the total contribution of all its categories rather than appearing as several fragmentary entries. The resulting scores were then sorted in descending order. Importances are normalised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lastRenderedPageBreak/>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 xml:space="preserve">Figure 5.12: XGBoost feature importance across the 18 retained features, tuned configuration (normalised,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r>
              <w:t>Resume_Score</w:t>
            </w:r>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r>
              <w:t>Overall_Preparedness_Index</w:t>
            </w:r>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r>
              <w:t>Programming_Skill</w:t>
            </w:r>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r>
              <w:t>Problem_Solving</w:t>
            </w:r>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r>
              <w:t>English_Proficiency</w:t>
            </w:r>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r>
              <w:t>Projects_Completed</w:t>
            </w:r>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r>
              <w:t>Communication_Skills</w:t>
            </w:r>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r>
              <w:t>Interview_Score</w:t>
            </w:r>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t>12</w:t>
            </w:r>
          </w:p>
        </w:tc>
        <w:tc>
          <w:tcPr>
            <w:tcW w:w="2500" w:type="dxa"/>
            <w:tcMar>
              <w:top w:w="80" w:type="dxa"/>
              <w:left w:w="100" w:type="dxa"/>
              <w:bottom w:w="80" w:type="dxa"/>
              <w:right w:w="100" w:type="dxa"/>
            </w:tcMar>
          </w:tcPr>
          <w:p w:rsidR="006D5227" w:rsidRDefault="00D90561">
            <w:r>
              <w:t>Academic_Performance</w:t>
            </w:r>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r>
              <w:t>Study_Hours_Per_Week</w:t>
            </w:r>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r>
              <w:t>Leadership_Experience</w:t>
            </w:r>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Behavioural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r>
              <w:t>GitHub_Profile</w:t>
            </w:r>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r>
              <w:t>Skills_per_Project</w:t>
            </w:r>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Default="00D90561">
      <w:pPr>
        <w:spacing w:after="200" w:line="360" w:lineRule="auto"/>
        <w:jc w:val="both"/>
      </w:pPr>
      <w:r>
        <w:rPr>
          <w:b/>
          <w:bCs/>
          <w:sz w:val="24"/>
          <w:szCs w:val="24"/>
        </w:rPr>
        <w:t>Note on Table 5.7. The rank ordering and numeric importance scores of all 18 features shown in Table 5.7 were obtained directly from the trained model's feature_importances_ attribute for the tuned configuration reported in Section 5.7 (no SMOTE, threshold = 0.50, hyperparameters selected by RandomizedSearchCV), and are exact to six decimal places rather than estimated from a plot. This resolves the earlier limitation, recorded in Section 5.15, that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r>
        <w:rPr>
          <w:sz w:val="24"/>
          <w:szCs w:val="24"/>
        </w:rPr>
      </w:r>
      <w:r>
        <w:rPr>
          <w:i/>
          <w:iCs/>
          <w:sz w:val="24"/>
          <w:szCs w:val="24"/>
        </w:rPr>
      </w:r>
    </w:p>
    <w:p w:rsidR="006D5227" w:rsidRDefault="00D90561">
      <w:pPr>
        <w:spacing w:after="200" w:line="360" w:lineRule="auto"/>
        <w:jc w:val="both"/>
      </w:pPr>
      <w:r>
        <w:rPr>
          <w:sz w:val="24"/>
          <w:szCs w:val="24"/>
        </w:rPr>
        <w:t>The interpretation results are the study's principal substantive finding, and they are unambiguous, though the ranking itself shifted under the retrained pipeline and is reported honestly rather than reconciled with the earlier draft. The four highest-priority features are Resume_Score, Overall_Preparedness_Index, Programming_Skill and Internships, together accounting for over 74.6 per cent of total decision weight; Resume_Score alone accounts for 33.3 per cent. CGPA ranks seventh of eighteen, with an importance of 0.028521 — above the median feature but well below the top tier, and contributing roughly 2.9 per cent of the model's total decision weight. Academic_Performance,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This ordering is consistent with the theoretical expectations developed in Chapter 2 and with the empirical findings that industrial work experience and internship exposure discriminate more strongly than grades (Baffa et al., 2023; Jackson, 2013; Kahlik &amp; Al-Hababi, 2024). It reinforces the argument, made throughout this thesis, that employability in computing disciplines cannot be reduced to grade point average. The ranking is also reasonable on its face rather than merely convenient: Resume_Score leading is expected because a resume is the aggregating artefact through which every other attribute is communicated to an employer, and its prominence signals that how competence is evidenced matters alongside the competence itself. Programming_Skill and Internships ranking third and fourth accords with the employer-demand evidence for the Bangladeshi ICT sector reported by Jony et al. (2022).</w:t>
      </w:r>
    </w:p>
    <w:p w:rsidR="006D5227" w:rsidRDefault="00D90561">
      <w:pPr>
        <w:spacing w:after="200" w:line="360" w:lineRule="auto"/>
        <w:jc w:val="both"/>
      </w:pPr>
      <w:r>
        <w:rPr>
          <w:sz w:val="24"/>
          <w:szCs w:val="24"/>
        </w:rPr>
        <w:t>One result runs against expectation and should be acknowledged rather than smoothed over. Overall_Preparedness_Index — a fixed weighted combination of Interview_Score and Internships, both of which remain available to the model as separate attributes — ranks second, ahead of Interview_Score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hyperparameter search for the tuned model: with few splits available per tree, the model appears to favour the composite as an efficient single-split proxy for Interview_Score's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Interview_Score and Internships already provide individually, and it is flagged in Section 5.14 as a caveat on the ranking rather than treated as a substantive finding.</w:t>
      </w:r>
    </w:p>
    <w:p w:rsidR="006D5227" w:rsidRDefault="00D90561">
      <w:pPr>
        <w:spacing w:after="200" w:line="360" w:lineRule="auto"/>
        <w:jc w:val="both"/>
      </w:pPr>
      <w:r>
        <w:rPr>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Overall_Preparedness_Index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 xml:space="preserve">The Z-test, or standard normal deviate test, assesses whether an observed sample statistic differs significantly from a hypothesised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w:t>
        <w:lastRenderedPageBreak/>
        <w:t>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bookmarkStart w:id="0" w:name="_GoBack"/>
      <w:bookmarkEnd w:id="0"/>
    </w:p>
    <w:p w:rsidR="006D5227" w:rsidRDefault="00D90561">
      <w:pPr>
        <w:spacing w:after="200" w:line="360" w:lineRule="auto"/>
        <w:jc w:val="both"/>
      </w:pPr>
      <w:r>
        <w:rPr>
          <w:sz w:val="24"/>
          <w:szCs w:val="24"/>
        </w:rPr>
        <w:t>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lastRenderedPageBreak/>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r>
              <w:t xml:space="preserve">t-distribution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misdescribes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Resume_Score, CGPA or Internships differ in mean between the employable and non-employable groups.</w:t>
      </w:r>
    </w:p>
    <w:p w:rsidR="006D5227" w:rsidRDefault="00D90561">
      <w:pPr>
        <w:spacing w:after="200" w:line="360" w:lineRule="auto"/>
        <w:jc w:val="both"/>
      </w:pPr>
      <w:r>
        <w:rPr>
          <w:sz w:val="24"/>
          <w:szCs w:val="24"/>
        </w:rPr>
        <w:lastRenderedPageBreak/>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Attendance_Percentage, which was subsequently excluded from the predictive model (Section 5.2), and does not include the two engineered composites, Overall_Preparedness_Index and Skills_per_Project, which did not yet exist at the point the test was run.</w:t>
      </w:r>
    </w:p>
    <w:p w:rsidR="006D5227" w:rsidRDefault="00D90561">
      <w:pPr>
        <w:keepNext/>
        <w:spacing w:after="120"/>
        <w:jc w:val="center"/>
      </w:pPr>
      <w:r>
        <w:rPr>
          <w:noProof/>
        </w:rPr>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7"/>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lastRenderedPageBreak/>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28"/>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Resume_Score (z = 47.18), Interview_Score (z = 44.69) and Internships (z = 42.42); the weakest, though still significant, are Study_Hours_Per_Week (z = 12.18) and Certifications (z = 7.25). This ordering is broadly consistent with, though not identical to, the gain-based feature-importance ranking of Section 5.10: Resume_Score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(Baffa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Third, the results qualify the ensemble-superiority claim of Section 2.5.2 rather than confirming it. The comparison run in Section 5.8 does not demonstrate that XGBoost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individualised advice, is specified but not yet implemented.</w:t>
      </w:r>
    </w:p>
    <w:p w:rsidR="006D5227" w:rsidRDefault="00D90561">
      <w:pPr>
        <w:spacing w:after="200" w:line="360" w:lineRule="auto"/>
        <w:jc w:val="both"/>
      </w:pPr>
      <w:r>
        <w:rPr>
          <w:sz w:val="24"/>
          <w:szCs w:val="24"/>
        </w:rPr>
        <w:t xml:space="preserve">The practical implications follow directly. For students, the ranked determinants indicate that resume quality, programming and problem-solving ability, internship experience and recognised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every one who genuinely needs support, which is tolerable for routing students to optional guidance but would not be tolerable for any allocation </w:t>
        <w:lastRenderedPageBreak/>
        <w:t xml:space="preserve">decision with a real cost attached. For employers and policymakers, the model offers an evidence-based rather than perception-based characterisation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Default="00D90561">
      <w:pPr>
        <w:spacing w:after="200" w:line="360" w:lineRule="auto"/>
        <w:jc w:val="both"/>
      </w:pPr>
      <w:r>
        <w:rPr>
          <w:b/>
          <w:bCs/>
          <w:sz w:val="24"/>
          <w:szCs w:val="24"/>
        </w:rPr>
        <w:t>RQ1 — determinants and their relative importance — addressed. The feature-importance analysis of Section 5.10 identifies and ranks all 18 retained technical, academic, experiential and behavioural attributes, establishing Resume_Score, Overall_Preparedness_Index, Programming_Skill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r>
        <w:rPr>
          <w:sz w:val="24"/>
          <w:szCs w:val="24"/>
        </w:rPr>
      </w:r>
    </w:p>
    <w:p w:rsidR="006D5227" w:rsidRDefault="00D90561">
      <w:pPr>
        <w:spacing w:after="200" w:line="360" w:lineRule="auto"/>
        <w:jc w:val="both"/>
      </w:pPr>
      <w:r>
        <w:rPr>
          <w:b/>
          <w:bCs/>
          <w:sz w:val="24"/>
          <w:szCs w:val="24"/>
        </w:rPr>
        <w:t>RQ2 — 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 predictable at the individual level from attributes available at or shortly after graduation: it is predictable to a moderate degree (AUC 0.81), and a classifier can be tuned to prioritise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r>
        <w:rPr>
          <w:sz w:val="24"/>
          <w:szCs w:val="24"/>
        </w:rPr>
      </w:r>
    </w:p>
    <w:p w:rsidR="006D5227" w:rsidRDefault="00D90561">
      <w:pPr>
        <w:spacing w:after="200" w:line="360" w:lineRule="auto"/>
        <w:jc w:val="both"/>
      </w:pPr>
      <w:r>
        <w:rPr>
          <w:b/>
          <w:bCs/>
          <w:sz w:val="24"/>
          <w:szCs w:val="24"/>
        </w:rPr>
        <w:t>RQ3 — best algorithm under a common evaluation protocol — addressed. Logistic Regression, Decision Tree, Random Forest and XGBoost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XGBoost (0.8170, 0.8068). No single algorithm dominates on this dataset, and the answer to RQ3 is correspondingly qualified: XGBoost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r>
        <w:rPr>
          <w:sz w:val="24"/>
          <w:szCs w:val="24"/>
        </w:rPr>
      </w:r>
    </w:p>
    <w:p w:rsidR="006D5227" w:rsidRDefault="00D90561">
      <w:pPr>
        <w:spacing w:after="200" w:line="360" w:lineRule="auto"/>
        <w:jc w:val="both"/>
      </w:pPr>
      <w:r>
        <w:rPr>
          <w:b/>
          <w:bCs/>
          <w:sz w:val="24"/>
          <w:szCs w:val="24"/>
        </w:rPr>
        <w:t xml:space="preserve">RQ4 — actionable recommendations — partially addressed. </w:t>
      </w:r>
      <w:r>
        <w:rPr>
          <w:sz w:val="24"/>
          <w:szCs w:val="24"/>
        </w:rPr>
        <w:t xml:space="preserve">The global feature ranking of Section 5.10 converts model behaviour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 xml:space="preserve">Subgroup performance was identified as a design goal (Table 2.2, G5) but is not addressed. The six demographic and contextual attributes that would permit a subgroup audit — including Gender, Major and University_Year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 xml:space="preserve">Six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rather than as a validated estimate of employability prediction accuracy for Bangladeshi CSE graduates.</w:t>
      </w:r>
    </w:p>
    <w:p w:rsidR="006D5227" w:rsidRDefault="00D90561">
      <w:pPr>
        <w:spacing w:after="200" w:line="360" w:lineRule="auto"/>
        <w:jc w:val="both"/>
      </w:pPr>
      <w:r>
        <w:rPr>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w:t>
        <w:lastRenderedPageBreak/>
        <w:t>Section 5.7. Neither configuration is deployment-ready on its own, and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 xml:space="preserve">Fourth, the comparative evaluation underlying RQ3 was run only against Logistic Regression, Decision Tree and Random Forest; Support Vector Machine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Each of these limitations directly motivates a corresponding item in the future work of Chapter 6.</w:t>
      </w:r>
    </w:p>
    <w:p w:rsidR="006D5227" w:rsidRDefault="00D90561">
      <w:pPr>
        <w:pStyle w:val="Heading2"/>
        <w:keepNext/>
        <w:keepLines/>
        <w:spacing w:before="240" w:after="160"/>
      </w:pPr>
      <w:r>
        <w:rPr>
          <w:b/>
          <w:bCs/>
          <w:sz w:val="24"/>
          <w:szCs w:val="24"/>
        </w:rPr>
        <w:t>5.15 Validation Summary</w:t>
      </w:r>
    </w:p>
    <w:p w:rsidR="006D5227" w:rsidRDefault="00D90561">
      <w:pPr>
        <w:spacing w:after="200" w:line="360" w:lineRule="auto"/>
        <w:jc w:val="both"/>
      </w:pPr>
      <w:r>
        <w:rPr>
          <w:sz w:val="24"/>
          <w:szCs w:val="24"/>
        </w:rPr>
        <w:t>Before finalising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lastRenderedPageBreak/>
              <w:t>Duplicate and missing-value counts</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Not printed by the executed pipeline; to be reported before submission.</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test_size = 0.2, stratify = y, random_state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hyperparameters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Exact scores for all 18 features obtained from feature_importances_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XGBoost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behavioural factors that determine it. A dataset of 50,000 records spanning academic performance, technical skills, practical experience, certifications, soft skills and career-preparation behaviour — the Student Career Success Prediction Dataset, obtained from Kaggle — was prepared, reduced to 18 modelling features by excluding six demographic and contextual attributes and constructing two composite indicators, and partitioned by a stratified 80:20 split into 40,000 training and 10,000 testing records. An XGBoost classifier was trained within a pipeline incorporating median and modal imputation, standardisation,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The study's principal substantive finding concerns the determinants of employability. Across all 18 retained features, the model's decisions were driven predominantly by evidenced capability and career preparation: Resume_Score, Overall_Preparedness_Index, Programming_Skill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(Baffa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On predictive performance, the conclusions are more qualified and are stated as such. Under the tuned configuration selected via cross-validated hyperparameter search — with no SMOTE, no class weighting, and the default 0.50 decision threshold — the model achieved 81.70 per cent overall accuracy and a ROC-AUC of 0.8068, comfortably above the 78.08 per cent majority-class baseline, but recovered only 35.5 per cent of graduates who were genuinely 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individualise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 xml:space="preserve">Because the training data was drawn from the publicly available Kaggle Student Career Success Prediction Dataset rather than collected directly from Bangladeshi CSE graduates, its records are not guaranteed to reflect the Bangladeshi ICT labour market, curricular structure or student population specifically. The six employability dimensions defined in Section 1.6 are operationalised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t xml:space="preserve">Incomplete algorithmic comparison. </w:t>
      </w:r>
      <w:r>
        <w:rPr>
          <w:sz w:val="24"/>
          <w:szCs w:val="24"/>
        </w:rPr>
        <w:t xml:space="preserve">Only XGBoost was trained and evaluated. The selection of the algorithm is justified on established properties in Section 5.8, but no measured </w:t>
        <w:lastRenderedPageBreak/>
        <w:t>comparison against Logistic Regression, Decision Tree, Random Forest or Support Vector Machine has been performed on this data, so no claim of comparative superiority is made.</w:t>
      </w:r>
    </w:p>
    <w:p w:rsidR="006D5227" w:rsidRDefault="00D90561">
      <w:pPr>
        <w:spacing w:after="200" w:line="360" w:lineRule="auto"/>
        <w:jc w:val="both"/>
      </w:pPr>
      <w:r>
        <w:rPr>
          <w:b/>
          <w:bCs/>
          <w:sz w:val="24"/>
          <w:szCs w:val="24"/>
        </w:rPr>
        <w:t xml:space="preserve">Uncalibrated precision-recall trade-off. </w:t>
      </w:r>
      <w:r>
        <w:rPr>
          <w:sz w:val="24"/>
          <w:szCs w:val="24"/>
        </w:rPr>
        <w:t>Three imbalance corrections were applied simultaneously and their combined effect appears to over-correct toward the minority class, yielding 0.36 precision on flagged graduates. Because no threshold-independent measure was computed, it is not currently possible to determine how much of the observed performance reflects the model’s discrimination and how much reflects the threshold choice.</w:t>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 xml:space="preserve">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until minority-class precision is improved, since at 0.36 precision the system is unsuitable for any decision that allocates scarce resources or carries a cost to the student.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summarises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Five tasks would close the gaps identified in Sections 5.13 and 5.15, all achievable with the dataset already in hand. First, RQ3’s comparative evaluation should be executed — Logistic Regression, Decision Tree, Random Forest and SVM trained on the identical split and metrics — so Table 5.6 can be completed and XGBoost’s selection confirmed or revised; at well under a second per run this is trivial, though SVM at n = 40,000 may need a linear kernel or subsample. Second, ROC-AUC and precision-recall curves should be plotted for every model, the latter being more informative under a 78:22 imbalance and better able to justify the 0.35 threshold. Third, the three imbalance corrections (SMOTE, scale_pos_weight, threshold tuning) should be tested separately and in combination to improve minority recall without collapsing precision below 0.36. Fourth, k-fold cross-validation should replace the single hold-out split so variance across folds can be reported. Fifth, effect sizes (Cohen’s d) should accompany the Section 5.11 Z-test results, alongside a subgroup fairness audit using the excluded demographic attributes as audit-only variables — addressing gap G5 without reintroducing demographic data into training.</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role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organisation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observership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advise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 xml:space="preserve">Certifications recorded only as a count, with no issuer, subject or recency.</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labour-market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recency,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Programming_Skill recorded as a single ordinal rating, with no language, framework or specialisation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specialisation area.</w:t>
            </w:r>
          </w:p>
        </w:tc>
        <w:tc>
          <w:tcPr>
            <w:tcW w:w="2200" w:type="dxa"/>
            <w:tcMar>
              <w:top w:w="80" w:type="dxa"/>
              <w:left w:w="100" w:type="dxa"/>
              <w:bottom w:w="80" w:type="dxa"/>
              <w:right w:w="100" w:type="dxa"/>
            </w:tcMar>
          </w:tcPr>
          <w:p w:rsidR="006D5227" w:rsidRDefault="00D90561">
            <w:r>
              <w:rPr>
                <w:sz w:val="18"/>
                <w:szCs w:val="18"/>
              </w:rPr>
              <w:t xml:space="preserve">Jony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GitHub_Profile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recency; stars or forks; open-source participation.</w:t>
            </w:r>
          </w:p>
        </w:tc>
        <w:tc>
          <w:tcPr>
            <w:tcW w:w="2200" w:type="dxa"/>
            <w:tcMar>
              <w:top w:w="80" w:type="dxa"/>
              <w:left w:w="100" w:type="dxa"/>
              <w:bottom w:w="80" w:type="dxa"/>
              <w:right w:w="100" w:type="dxa"/>
            </w:tcMar>
          </w:tcPr>
          <w:p w:rsidR="006D5227" w:rsidRDefault="00D90561">
            <w:r>
              <w:rPr>
                <w:sz w:val="18"/>
                <w:szCs w:val="18"/>
              </w:rPr>
              <w:t xml:space="preserve">GitHub_Profile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informativeness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behaviour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labour-market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labour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standardised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Beyond collection, external validation should train on one dataset and test on an independently collected one — for instance the present Kaggle data against a Bangladeshi sample — a stronger test of generalisation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Kahlik and Al-Hababi (2024), to gradient-boosting alternatives LightGBM and CatBoost — the latter avoiding the one-hot fragmentation that complicated Section 5.10 — and, once a richer feature set exists, to deep learning approaches such as TabNet. NLP on graduate CVs would be a natural extension once free-text portfolio data is collected, decomposing Resume_Score into its constituent signals.</w:t>
      </w:r>
    </w:p>
    <w:p w:rsidR="006D5227" w:rsidRDefault="00D90561">
      <w:pPr>
        <w:spacing w:after="200" w:line="360" w:lineRule="auto"/>
        <w:jc w:val="both"/>
      </w:pPr>
      <w:r>
        <w:rPr>
          <w:sz w:val="24"/>
          <w:szCs w:val="24"/>
        </w:rPr>
        <w:t>Fairness and generalisation should be addressed through the audit design of Section 6.3.1: retaining demographic attributes for evaluation while excluding them from training permits per-subgroup reporting of recall and precision across gender, institution type, major and geographic origin, extending the bias-aware analysis of Guo et al. (2020); where disparities are found, fairness-constrained training or per-subgroup threshold calibration should be evaluated. Longitudinal validation should track a cohort prospectively, recording predictions at graduation against outcomes observed at 12 and 24 months — the only design that tests the model as it would actually be used and that can establish whether its associations remain stable as labour-market conditions change.</w:t>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(Behance, Dribbble) for role-level rather than binary guidance. Second, the model could connect via API to platforms such as GitHub, LeetCode and LinkedIn to fetch problem-solving activity and profile completeness automatically, replacing several self-reported attributes in Table 6.1 with continuously updated, verifiable data. Third, the SHAP explanations of Section 6.3.4 could become a personalised,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r>
        <w:rPr>
          <w:sz w:val="24"/>
          <w:szCs w:val="24"/>
        </w:rPr>
        <w:t xml:space="preserve">Baffa, M. H., Miyim, M. A., &amp; Dauda, A. S. (2023). Machine learning for predicting students’ employability. </w:t>
      </w:r>
      <w:r>
        <w:rPr>
          <w:i/>
          <w:iCs/>
          <w:sz w:val="24"/>
          <w:szCs w:val="24"/>
        </w:rPr>
        <w:t xml:space="preserve">UMYU Scientifica,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r>
        <w:rPr>
          <w:i/>
          <w:iCs/>
          <w:sz w:val="24"/>
          <w:szCs w:val="24"/>
        </w:rPr>
        <w:t xml:space="preserve">Labour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Majumder, A., Mia, M. J., Basri, R., &amp; Zulfiker, M. S. (2021). Career prediction with analysis of influential factors using data mining in the context of Bangladesh. In M. S. Kaiser, A. Bandyopadhyay,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r>
        <w:rPr>
          <w:sz w:val="24"/>
          <w:szCs w:val="24"/>
        </w:rPr>
        <w:t xml:space="preserve">Breiman,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r>
        <w:rPr>
          <w:sz w:val="24"/>
          <w:szCs w:val="24"/>
        </w:rPr>
        <w:t xml:space="preserve">Casuat, C. D., &amp; Festijo,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Kegelmeyer,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Guestrin, C. (2016). XGBoost: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A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r>
        <w:rPr>
          <w:sz w:val="24"/>
          <w:szCs w:val="24"/>
        </w:rPr>
        <w:lastRenderedPageBreak/>
        <w:t xml:space="preserve">ElSharkawy, G., Helmy, Y., &amp; Yehia,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Kaggle.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Zehner,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r>
        <w:rPr>
          <w:sz w:val="24"/>
          <w:szCs w:val="24"/>
        </w:rPr>
        <w:t xml:space="preserve">García-Peñalvo, F. J., Cruz-Benito, J., Martín-González, M., Vázquez-Ingelmo, A., Sánchez-Prieto, J. C., &amp; Therón,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r>
        <w:rPr>
          <w:sz w:val="24"/>
          <w:szCs w:val="24"/>
        </w:rPr>
        <w:t xml:space="preserve">Guo,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r>
        <w:rPr>
          <w:sz w:val="24"/>
          <w:szCs w:val="24"/>
        </w:rPr>
        <w:t xml:space="preserve">Haque, R., Quek,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Sharmin, S., Islam, A. T. M. F., Khandakar, H., Siddique, A. H., Shuhan, A. H., &amp; Khandaker,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r>
        <w:rPr>
          <w:sz w:val="24"/>
          <w:szCs w:val="24"/>
        </w:rPr>
        <w:t xml:space="preserve">Jony,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r>
        <w:rPr>
          <w:sz w:val="24"/>
          <w:szCs w:val="24"/>
        </w:rPr>
        <w:lastRenderedPageBreak/>
        <w:t xml:space="preserve">Kahlik, A. A., &amp; Al-Hababi,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r>
        <w:rPr>
          <w:sz w:val="24"/>
          <w:szCs w:val="24"/>
        </w:rPr>
        <w:t xml:space="preserve">Mezhoudi, N., Alghamdi, R., Aljunaid, R., Krichna, G., &amp; Düştegör,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Yusoff, I., &amp; Kee,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r>
        <w:rPr>
          <w:sz w:val="24"/>
          <w:szCs w:val="24"/>
        </w:rPr>
        <w:t xml:space="preserve">Vo,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r>
        <w:rPr>
          <w:sz w:val="24"/>
          <w:szCs w:val="24"/>
        </w:rPr>
        <w:t xml:space="preserve">Yorke,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r>
        <w:rPr>
          <w:sz w:val="24"/>
          <w:szCs w:val="24"/>
        </w:rPr>
        <w:t xml:space="preserve">Zulfiker, M. S., Kabir,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 xml:space="preserve">Table A.1 defines the key terms used throughout this thesis as they are operationalised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 xml:space="preserve">The propensity of a graduate to obtain and sustain suitable employment, understood as a function of skills, understandings and personal attributes (Yorke, 2006). In this study it is operationalised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labour market (Hasan et al., 2024; Jony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 xml:space="preserve">A quantitative measure of the contribution of an individual input variable to a model’s predictions, computed in this study using both model-intrinsic importance measures and SHapley Additive exPlanations (Lundberg &amp; Lee, 2017).</w:t>
            </w:r>
          </w:p>
        </w:tc>
      </w:tr>
    </w:tbl>
    <w:p w:rsidR="006D5227" w:rsidRDefault="006D5227">
      <w:pPr>
        <w:spacing w:after="200"/>
      </w:pPr>
    </w:p>
    <w:sectPr w:rsidR="006D5227">
      <w:headerReference w:type="default" r:id="rId29"/>
      <w:footerReference w:type="default" r:id="rId30"/>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754D6" w:rsidRDefault="00E754D6">
      <w:r>
        <w:separator/>
      </w:r>
    </w:p>
  </w:endnote>
  <w:endnote w:type="continuationSeparator" w:id="0">
    <w:p w:rsidR="00E754D6" w:rsidRDefault="00E75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709F989-6177-448B-AA24-D570289F1D30}"/>
  </w:font>
  <w:font w:name="Cambria">
    <w:panose1 w:val="02040503050406030204"/>
    <w:charset w:val="00"/>
    <w:family w:val="roman"/>
    <w:pitch w:val="variable"/>
    <w:sig w:usb0="E00006FF" w:usb1="420024FF" w:usb2="02000000" w:usb3="00000000" w:csb0="0000019F" w:csb1="00000000"/>
    <w:embedRegular r:id="rId2" w:fontKey="{E5909093-B3CF-4863-A59A-0A46E50389AA}"/>
    <w:embedBold r:id="rId3" w:fontKey="{E4B68ECF-8C66-4396-9A54-32C921A7263A}"/>
  </w:font>
  <w:font w:name="Calibri">
    <w:panose1 w:val="020F0502020204030204"/>
    <w:charset w:val="00"/>
    <w:family w:val="swiss"/>
    <w:pitch w:val="variable"/>
    <w:sig w:usb0="E4002EFF" w:usb1="C000247B" w:usb2="00000009" w:usb3="00000000" w:csb0="000001FF" w:csb1="00000000"/>
    <w:embedRegular r:id="rId4" w:fontKey="{6A96179E-42BE-47C2-92F8-DB9176C3EC6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0561" w:rsidRDefault="00D90561">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51277E">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0561" w:rsidRDefault="00D90561">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51277E">
      <w:rPr>
        <w:noProof/>
        <w:sz w:val="24"/>
        <w:szCs w:val="24"/>
      </w:rPr>
      <w:t>59</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754D6" w:rsidRDefault="00E754D6">
      <w:r>
        <w:separator/>
      </w:r>
    </w:p>
  </w:footnote>
  <w:footnote w:type="continuationSeparator" w:id="0">
    <w:p w:rsidR="00E754D6" w:rsidRDefault="00E754D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0561" w:rsidRDefault="00D9056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90561" w:rsidRDefault="00D9056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3C49A2"/>
    <w:rsid w:val="0051277E"/>
    <w:rsid w:val="006D5227"/>
    <w:rsid w:val="00936081"/>
    <w:rsid w:val="00990702"/>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g"/><Relationship Id="rId30" Type="http://schemas.openxmlformats.org/officeDocument/2006/relationships/footer" Target="footer2.xml"/><Relationship Id="rId33" Type="http://schemas.openxmlformats.org/officeDocument/2006/relationships/image" Target="media/image22.png"/><Relationship Id="rId34"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86</Pages>
  <Words>26085</Words>
  <Characters>148688</Characters>
  <Application>Microsoft Office Word</Application>
  <DocSecurity>0</DocSecurity>
  <Lines>1239</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6</cp:revision>
  <dcterms:created xsi:type="dcterms:W3CDTF">2026-08-23T04:32:00Z</dcterms:created>
  <dcterms:modified xsi:type="dcterms:W3CDTF">2026-08-24T03:44:00Z</dcterms:modified>
</cp:coreProperties>
</file>