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color w:val="C5A059"/>
          <w:sz w:val="19"/>
        </w:rPr>
        <w:t>EXECUTIVE CLIENT REPORT • OCTOBER 2026</w:t>
      </w:r>
    </w:p>
    <w:p>
      <w:pPr>
        <w:spacing w:before="0" w:after="40"/>
      </w:pPr>
      <w:r>
        <w:rPr>
          <w:rFonts w:ascii="Georgia" w:hAnsi="Georgia"/>
          <w:b/>
          <w:color w:val="0A0B0E"/>
          <w:sz w:val="48"/>
        </w:rPr>
        <w:t>Adrian Saint Corporate Mentalist</w:t>
      </w:r>
    </w:p>
    <w:p>
      <w:pPr>
        <w:spacing w:before="0" w:after="280"/>
      </w:pPr>
      <w:r>
        <w:rPr>
          <w:rFonts w:ascii="Calibri" w:hAnsi="Calibri"/>
          <w:color w:val="64748B"/>
          <w:sz w:val="26"/>
        </w:rPr>
        <w:t>Monthly Website Development &amp; Technical SEO Performance Report</w:t>
      </w:r>
    </w:p>
    <w:tbl>
      <w:tblPr>
        <w:tblW w:type="auto" w:w="0"/>
        <w:jc w:val="center"/>
        <w:tblLayout w:type="fixed"/>
        <w:tblLook w:firstColumn="1" w:firstRow="1" w:lastColumn="0" w:lastRow="0" w:noHBand="0" w:noVBand="1" w:val="04A0"/>
      </w:tblPr>
      <w:tblGrid>
        <w:gridCol w:w="4680"/>
        <w:gridCol w:w="4680"/>
      </w:tblGrid>
      <w:tr>
        <w:tc>
          <w:tcPr>
            <w:tcW w:type="dxa" w:w="4680"/>
            <w:shd w:fill="F1F5F9"/>
            <w:tcMar>
              <w:top w:w="100" w:type="dxa"/>
              <w:bottom w:w="100" w:type="dxa"/>
              <w:left w:w="150" w:type="dxa"/>
              <w:right w:w="150" w:type="dxa"/>
            </w:tcMar>
          </w:tcPr>
          <w:p>
            <w:pPr>
              <w:spacing w:before="0" w:after="0" w:line="276" w:lineRule="auto"/>
            </w:pPr>
            <w:r>
              <w:rPr>
                <w:rFonts w:ascii="Calibri" w:hAnsi="Calibri"/>
                <w:b/>
                <w:color w:val="64748B"/>
                <w:sz w:val="16"/>
              </w:rPr>
              <w:t>REPORTING PERIOD</w:t>
              <w:br/>
            </w:r>
            <w:r>
              <w:rPr>
                <w:rFonts w:ascii="Calibri" w:hAnsi="Calibri"/>
                <w:b/>
                <w:color w:val="1E293B"/>
                <w:sz w:val="20"/>
              </w:rPr>
              <w:t>October 2026</w:t>
            </w:r>
          </w:p>
        </w:tc>
        <w:tc>
          <w:tcPr>
            <w:tcW w:type="dxa" w:w="4680"/>
            <w:shd w:fill="F1F5F9"/>
            <w:tcMar>
              <w:top w:w="100" w:type="dxa"/>
              <w:bottom w:w="100" w:type="dxa"/>
              <w:left w:w="150" w:type="dxa"/>
              <w:right w:w="150" w:type="dxa"/>
            </w:tcMar>
          </w:tcPr>
          <w:p>
            <w:pPr>
              <w:spacing w:before="0" w:after="0" w:line="276" w:lineRule="auto"/>
            </w:pPr>
            <w:r>
              <w:rPr>
                <w:rFonts w:ascii="Calibri" w:hAnsi="Calibri"/>
                <w:b/>
                <w:color w:val="64748B"/>
                <w:sz w:val="16"/>
              </w:rPr>
              <w:t>CLIENT / BRAND</w:t>
              <w:br/>
            </w:r>
            <w:r>
              <w:rPr>
                <w:rFonts w:ascii="Calibri" w:hAnsi="Calibri"/>
                <w:b/>
                <w:color w:val="1E293B"/>
                <w:sz w:val="20"/>
              </w:rPr>
              <w:t>Adrian Saint Entertainment</w:t>
            </w:r>
          </w:p>
        </w:tc>
      </w:tr>
      <w:tr>
        <w:tc>
          <w:tcPr>
            <w:tcW w:type="dxa" w:w="4680"/>
            <w:shd w:fill="F1F5F9"/>
            <w:tcMar>
              <w:top w:w="100" w:type="dxa"/>
              <w:bottom w:w="100" w:type="dxa"/>
              <w:left w:w="150" w:type="dxa"/>
              <w:right w:w="150" w:type="dxa"/>
            </w:tcMar>
          </w:tcPr>
          <w:p>
            <w:pPr>
              <w:spacing w:before="0" w:after="0" w:line="276" w:lineRule="auto"/>
            </w:pPr>
            <w:r>
              <w:rPr>
                <w:rFonts w:ascii="Calibri" w:hAnsi="Calibri"/>
                <w:b/>
                <w:color w:val="64748B"/>
                <w:sz w:val="16"/>
              </w:rPr>
              <w:t>LIVE PLATFORM</w:t>
              <w:br/>
            </w:r>
            <w:r>
              <w:rPr>
                <w:rFonts w:ascii="Calibri" w:hAnsi="Calibri"/>
                <w:b/>
                <w:color w:val="1E293B"/>
                <w:sz w:val="20"/>
              </w:rPr>
              <w:t>https://adriansaintmentalist.com</w:t>
            </w:r>
          </w:p>
        </w:tc>
        <w:tc>
          <w:tcPr>
            <w:tcW w:type="dxa" w:w="4680"/>
            <w:shd w:fill="F1F5F9"/>
            <w:tcMar>
              <w:top w:w="100" w:type="dxa"/>
              <w:bottom w:w="100" w:type="dxa"/>
              <w:left w:w="150" w:type="dxa"/>
              <w:right w:w="150" w:type="dxa"/>
            </w:tcMar>
          </w:tcPr>
          <w:p>
            <w:pPr>
              <w:spacing w:before="0" w:after="0" w:line="276" w:lineRule="auto"/>
            </w:pPr>
            <w:r>
              <w:rPr>
                <w:rFonts w:ascii="Calibri" w:hAnsi="Calibri"/>
                <w:b/>
                <w:color w:val="64748B"/>
                <w:sz w:val="16"/>
              </w:rPr>
              <w:t>STATUS</w:t>
              <w:br/>
            </w:r>
            <w:r>
              <w:rPr>
                <w:rFonts w:ascii="Calibri" w:hAnsi="Calibri"/>
                <w:b/>
                <w:color w:val="1E293B"/>
                <w:sz w:val="20"/>
              </w:rPr>
              <w:t>100% Deployed &amp; Live on Production</w:t>
            </w:r>
          </w:p>
        </w:tc>
      </w:tr>
    </w:tbl>
    <w:p>
      <w:pPr>
        <w:spacing w:before="160" w:after="0"/>
      </w:pPr>
    </w:p>
    <w:tbl>
      <w:tblPr>
        <w:tblW w:type="auto" w:w="0"/>
        <w:jc w:val="center"/>
        <w:tblLayout w:type="fixed"/>
        <w:tblLook w:firstColumn="1" w:firstRow="1" w:lastColumn="0" w:lastRow="0" w:noHBand="0" w:noVBand="1" w:val="04A0"/>
        <w:tblBorders>
          <w:top w:val="single" w:sz="6" w:space="0" w:color="CBD5E1"/>
          <w:bottom w:val="single" w:sz="6" w:space="0" w:color="CBD5E1"/>
          <w:insideH w:val="single" w:sz="6" w:space="0" w:color="CBD5E1"/>
          <w:insideV w:val="none"/>
          <w:left w:val="none"/>
          <w:right w:val="none"/>
        </w:tblBorders>
      </w:tblPr>
      <w:tblGrid>
        <w:gridCol w:w="2340"/>
        <w:gridCol w:w="2340"/>
        <w:gridCol w:w="2340"/>
        <w:gridCol w:w="2340"/>
      </w:tblGrid>
      <w:tr>
        <w:tc>
          <w:tcPr>
            <w:tcW w:type="dxa" w:w="2340"/>
            <w:shd w:fill="F8FAFC"/>
            <w:tcMar>
              <w:top w:w="140" w:type="dxa"/>
              <w:bottom w:w="140" w:type="dxa"/>
              <w:left w:w="100" w:type="dxa"/>
              <w:right w:w="100" w:type="dxa"/>
            </w:tcMar>
          </w:tcPr>
          <w:p>
            <w:pPr>
              <w:spacing w:before="0" w:after="0"/>
              <w:jc w:val="center"/>
            </w:pPr>
            <w:r>
              <w:rPr>
                <w:rFonts w:ascii="Georgia" w:hAnsi="Georgia"/>
                <w:b/>
                <w:color w:val="C5A059"/>
                <w:sz w:val="40"/>
              </w:rPr>
              <w:t>67</w:t>
              <w:br/>
            </w:r>
            <w:r>
              <w:rPr>
                <w:rFonts w:ascii="Calibri" w:hAnsi="Calibri"/>
                <w:b/>
                <w:color w:val="1E293B"/>
                <w:sz w:val="18"/>
              </w:rPr>
              <w:t>Live Pages</w:t>
            </w:r>
          </w:p>
        </w:tc>
        <w:tc>
          <w:tcPr>
            <w:tcW w:type="dxa" w:w="2340"/>
            <w:shd w:fill="F8FAFC"/>
            <w:tcMar>
              <w:top w:w="140" w:type="dxa"/>
              <w:bottom w:w="140" w:type="dxa"/>
              <w:left w:w="100" w:type="dxa"/>
              <w:right w:w="100" w:type="dxa"/>
            </w:tcMar>
          </w:tcPr>
          <w:p>
            <w:pPr>
              <w:spacing w:before="0" w:after="0"/>
              <w:jc w:val="center"/>
            </w:pPr>
            <w:r>
              <w:rPr>
                <w:rFonts w:ascii="Georgia" w:hAnsi="Georgia"/>
                <w:b/>
                <w:color w:val="C5A059"/>
                <w:sz w:val="40"/>
              </w:rPr>
              <w:t>60</w:t>
              <w:br/>
            </w:r>
            <w:r>
              <w:rPr>
                <w:rFonts w:ascii="Calibri" w:hAnsi="Calibri"/>
                <w:b/>
                <w:color w:val="1E293B"/>
                <w:sz w:val="18"/>
              </w:rPr>
              <w:t>Regional SEO Hubs</w:t>
            </w:r>
          </w:p>
        </w:tc>
        <w:tc>
          <w:tcPr>
            <w:tcW w:type="dxa" w:w="2340"/>
            <w:shd w:fill="F8FAFC"/>
            <w:tcMar>
              <w:top w:w="140" w:type="dxa"/>
              <w:bottom w:w="140" w:type="dxa"/>
              <w:left w:w="100" w:type="dxa"/>
              <w:right w:w="100" w:type="dxa"/>
            </w:tcMar>
          </w:tcPr>
          <w:p>
            <w:pPr>
              <w:spacing w:before="0" w:after="0"/>
              <w:jc w:val="center"/>
            </w:pPr>
            <w:r>
              <w:rPr>
                <w:rFonts w:ascii="Georgia" w:hAnsi="Georgia"/>
                <w:b/>
                <w:color w:val="C5A059"/>
                <w:sz w:val="40"/>
              </w:rPr>
              <w:t>50</w:t>
              <w:br/>
            </w:r>
            <w:r>
              <w:rPr>
                <w:rFonts w:ascii="Calibri" w:hAnsi="Calibri"/>
                <w:b/>
                <w:color w:val="1E293B"/>
                <w:sz w:val="18"/>
              </w:rPr>
              <w:t>New Pages in Oct</w:t>
            </w:r>
          </w:p>
        </w:tc>
        <w:tc>
          <w:tcPr>
            <w:tcW w:type="dxa" w:w="2340"/>
            <w:shd w:fill="F8FAFC"/>
            <w:tcMar>
              <w:top w:w="140" w:type="dxa"/>
              <w:bottom w:w="140" w:type="dxa"/>
              <w:left w:w="100" w:type="dxa"/>
              <w:right w:w="100" w:type="dxa"/>
            </w:tcMar>
          </w:tcPr>
          <w:p>
            <w:pPr>
              <w:spacing w:before="0" w:after="0"/>
              <w:jc w:val="center"/>
            </w:pPr>
            <w:r>
              <w:rPr>
                <w:rFonts w:ascii="Georgia" w:hAnsi="Georgia"/>
                <w:b/>
                <w:color w:val="C5A059"/>
                <w:sz w:val="40"/>
              </w:rPr>
              <w:t>253</w:t>
              <w:br/>
            </w:r>
            <w:r>
              <w:rPr>
                <w:rFonts w:ascii="Calibri" w:hAnsi="Calibri"/>
                <w:b/>
                <w:color w:val="1E293B"/>
                <w:sz w:val="18"/>
              </w:rPr>
              <w:t>301 URL Redirects</w:t>
            </w:r>
          </w:p>
        </w:tc>
      </w:tr>
    </w:tbl>
    <w:p>
      <w:pPr>
        <w:keepNext/>
        <w:spacing w:before="360" w:after="80"/>
      </w:pPr>
      <w:r>
        <w:rPr>
          <w:rFonts w:ascii="Georgia" w:hAnsi="Georgia"/>
          <w:b/>
          <w:color w:val="0A0B0E"/>
          <w:sz w:val="30"/>
        </w:rPr>
        <w:t>Executive Summary</w:t>
      </w:r>
    </w:p>
    <w:p>
      <w:pPr>
        <w:spacing w:before="60" w:after="120" w:line="276" w:lineRule="auto"/>
      </w:pPr>
      <w:r>
        <w:rPr>
          <w:rFonts w:ascii="Calibri" w:hAnsi="Calibri"/>
          <w:color w:val="1E293B"/>
          <w:sz w:val="21"/>
        </w:rPr>
        <w:t>During October 2026, the digital growth and local search dominance for Adrian Saint – Corporate Mentalist &amp; Mind Reader achieved record-breaking expansion. Building upon September's foundational 26-page architecture, the engineering team executed an aggressive nationwide expansion to build, optimize, and deploy exactly 50 new location landing pages in October 2026 alone, hitting our ambitious monthly milestone and scaling the live platform to 67 production pages.</w:t>
      </w:r>
    </w:p>
    <w:p>
      <w:pPr>
        <w:spacing w:before="60" w:after="120" w:line="276" w:lineRule="auto"/>
      </w:pPr>
      <w:r>
        <w:rPr>
          <w:rFonts w:ascii="Calibri" w:hAnsi="Calibri"/>
          <w:color w:val="1E293B"/>
          <w:sz w:val="21"/>
        </w:rPr>
        <w:t>Alongside geographic market expansion, October introduced critical technical resilience and conversion protections: diagnosing and permanently fixing mobile form latency and SSL handshake errors, engineering a 5-second mobile timeout with instant visual feedback, implementing client-side zero-loss lead caching, establishing automated CC lead routing to key executive stakeholders (Gowrish, Sir, and Mahabub), self-hosting all 35 external photo gallery assets locally, and scaling the URL routing infrastructure to 253 permanent 301 redirects.</w:t>
      </w:r>
    </w:p>
    <w:p>
      <w:pPr>
        <w:keepNext/>
        <w:spacing w:before="360" w:after="80"/>
      </w:pPr>
      <w:r>
        <w:rPr>
          <w:rFonts w:ascii="Georgia" w:hAnsi="Georgia"/>
          <w:b/>
          <w:color w:val="0A0B0E"/>
          <w:sz w:val="30"/>
        </w:rPr>
        <w:t>1. Site Building &amp; Nationwide Market Expansion</w:t>
      </w:r>
    </w:p>
    <w:p>
      <w:pPr>
        <w:spacing w:before="60" w:after="120" w:line="276" w:lineRule="auto"/>
      </w:pPr>
      <w:r>
        <w:rPr>
          <w:rFonts w:ascii="Calibri" w:hAnsi="Calibri"/>
          <w:color w:val="1E293B"/>
          <w:sz w:val="21"/>
        </w:rPr>
        <w:t>In October, the website was transformed from a regional California-focused site into a dominant nationwide entertainment authority, scaling from 21 to 60 live regional landing pages across 6 structured release batches:</w:t>
      </w:r>
    </w:p>
    <w:p>
      <w:pPr>
        <w:keepNext/>
        <w:spacing w:before="240" w:after="60"/>
      </w:pPr>
      <w:r>
        <w:rPr>
          <w:rFonts w:ascii="Calibri" w:hAnsi="Calibri"/>
          <w:b/>
          <w:color w:val="1E293B"/>
          <w:sz w:val="24"/>
        </w:rPr>
        <w:t>A. Batch 1: California Luxury &amp; Wine Country (5 Pages)</w:t>
      </w:r>
    </w:p>
    <w:p>
      <w:pPr>
        <w:pStyle w:val="ListBullet"/>
        <w:spacing w:before="40" w:after="60" w:line="276" w:lineRule="auto"/>
      </w:pPr>
      <w:r>
        <w:rPr>
          <w:rFonts w:ascii="Calibri" w:hAnsi="Calibri"/>
          <w:b/>
          <w:color w:val="1E293B"/>
          <w:sz w:val="20"/>
        </w:rPr>
        <w:t xml:space="preserve">Orange County, CA: </w:t>
      </w:r>
      <w:r>
        <w:rPr>
          <w:rFonts w:ascii="Calibri" w:hAnsi="Calibri"/>
          <w:color w:val="1E293B"/>
          <w:sz w:val="20"/>
        </w:rPr>
        <w:t>/corporate-magician-orange-county (Disneyland resort corridor, Costa Mesa, Irvine financial centers).</w:t>
      </w:r>
    </w:p>
    <w:p>
      <w:pPr>
        <w:pStyle w:val="ListBullet"/>
        <w:spacing w:before="40" w:after="60" w:line="276" w:lineRule="auto"/>
      </w:pPr>
      <w:r>
        <w:rPr>
          <w:rFonts w:ascii="Calibri" w:hAnsi="Calibri"/>
          <w:b/>
          <w:color w:val="1E293B"/>
          <w:sz w:val="20"/>
        </w:rPr>
        <w:t xml:space="preserve">Newport Beach, CA: </w:t>
      </w:r>
      <w:r>
        <w:rPr>
          <w:rFonts w:ascii="Calibri" w:hAnsi="Calibri"/>
          <w:color w:val="1E293B"/>
          <w:sz w:val="20"/>
        </w:rPr>
        <w:t>/corporate-magician-newport-beach (Pelican Hill, Balboa Bay Club, Fashion Island corporate galas).</w:t>
      </w:r>
    </w:p>
    <w:p>
      <w:pPr>
        <w:pStyle w:val="ListBullet"/>
        <w:spacing w:before="40" w:after="60" w:line="276" w:lineRule="auto"/>
      </w:pPr>
      <w:r>
        <w:rPr>
          <w:rFonts w:ascii="Calibri" w:hAnsi="Calibri"/>
          <w:b/>
          <w:color w:val="1E293B"/>
          <w:sz w:val="20"/>
        </w:rPr>
        <w:t xml:space="preserve">Palm Springs, CA: </w:t>
      </w:r>
      <w:r>
        <w:rPr>
          <w:rFonts w:ascii="Calibri" w:hAnsi="Calibri"/>
          <w:color w:val="1E293B"/>
          <w:sz w:val="20"/>
        </w:rPr>
        <w:t>/corporate-magician-palm-springs (Palm Springs Convention Center, luxury desert summits).</w:t>
      </w:r>
    </w:p>
    <w:p>
      <w:pPr>
        <w:pStyle w:val="ListBullet"/>
        <w:spacing w:before="40" w:after="60" w:line="276" w:lineRule="auto"/>
      </w:pPr>
      <w:r>
        <w:rPr>
          <w:rFonts w:ascii="Calibri" w:hAnsi="Calibri"/>
          <w:b/>
          <w:color w:val="1E293B"/>
          <w:sz w:val="20"/>
        </w:rPr>
        <w:t xml:space="preserve">Palm Desert, CA: </w:t>
      </w:r>
      <w:r>
        <w:rPr>
          <w:rFonts w:ascii="Calibri" w:hAnsi="Calibri"/>
          <w:color w:val="1E293B"/>
          <w:sz w:val="20"/>
        </w:rPr>
        <w:t>/corporate-magician-palm-desert (JW Marriott Desert Springs, Coachella Valley executive retreats).</w:t>
      </w:r>
    </w:p>
    <w:p>
      <w:pPr>
        <w:pStyle w:val="ListBullet"/>
        <w:spacing w:before="40" w:after="60" w:line="276" w:lineRule="auto"/>
      </w:pPr>
      <w:r>
        <w:rPr>
          <w:rFonts w:ascii="Calibri" w:hAnsi="Calibri"/>
          <w:b/>
          <w:color w:val="1E293B"/>
          <w:sz w:val="20"/>
        </w:rPr>
        <w:t xml:space="preserve">Napa Valley, CA: </w:t>
      </w:r>
      <w:r>
        <w:rPr>
          <w:rFonts w:ascii="Calibri" w:hAnsi="Calibri"/>
          <w:color w:val="1E293B"/>
          <w:sz w:val="20"/>
        </w:rPr>
        <w:t>/corporate-magician-napa (The Meritage Resort, Silverado Resort, luxury vineyard galas).</w:t>
      </w:r>
    </w:p>
    <w:p>
      <w:pPr>
        <w:keepNext/>
        <w:spacing w:before="240" w:after="60"/>
      </w:pPr>
      <w:r>
        <w:rPr>
          <w:rFonts w:ascii="Calibri" w:hAnsi="Calibri"/>
          <w:b/>
          <w:color w:val="1E293B"/>
          <w:sz w:val="24"/>
        </w:rPr>
        <w:t>B. Batch 2: California Luxury Enclaves &amp; Resort Hubs (6 Pages)</w:t>
      </w:r>
    </w:p>
    <w:p>
      <w:pPr>
        <w:pStyle w:val="ListBullet"/>
        <w:spacing w:before="40" w:after="60" w:line="276" w:lineRule="auto"/>
      </w:pPr>
      <w:r>
        <w:rPr>
          <w:rFonts w:ascii="Calibri" w:hAnsi="Calibri"/>
          <w:b/>
          <w:color w:val="1E293B"/>
          <w:sz w:val="20"/>
        </w:rPr>
        <w:t xml:space="preserve">Beverly Hills, CA: </w:t>
      </w:r>
      <w:r>
        <w:rPr>
          <w:rFonts w:ascii="Calibri" w:hAnsi="Calibri"/>
          <w:color w:val="1E293B"/>
          <w:sz w:val="20"/>
        </w:rPr>
        <w:t>/corporate-magician-beverly-hills (The Beverly Hilton, Beverly Wilshire, luxury private banquets).</w:t>
      </w:r>
    </w:p>
    <w:p>
      <w:pPr>
        <w:pStyle w:val="ListBullet"/>
        <w:spacing w:before="40" w:after="60" w:line="276" w:lineRule="auto"/>
      </w:pPr>
      <w:r>
        <w:rPr>
          <w:rFonts w:ascii="Calibri" w:hAnsi="Calibri"/>
          <w:b/>
          <w:color w:val="1E293B"/>
          <w:sz w:val="20"/>
        </w:rPr>
        <w:t xml:space="preserve">Santa Monica, CA: </w:t>
      </w:r>
      <w:r>
        <w:rPr>
          <w:rFonts w:ascii="Calibri" w:hAnsi="Calibri"/>
          <w:color w:val="1E293B"/>
          <w:sz w:val="20"/>
        </w:rPr>
        <w:t>/corporate-magician-santa-monica (Shutters on the Beach, Silicon Beach tech conferences).</w:t>
      </w:r>
    </w:p>
    <w:p>
      <w:pPr>
        <w:pStyle w:val="ListBullet"/>
        <w:spacing w:before="40" w:after="60" w:line="276" w:lineRule="auto"/>
      </w:pPr>
      <w:r>
        <w:rPr>
          <w:rFonts w:ascii="Calibri" w:hAnsi="Calibri"/>
          <w:b/>
          <w:color w:val="1E293B"/>
          <w:sz w:val="20"/>
        </w:rPr>
        <w:t xml:space="preserve">Santa Barbara, CA: </w:t>
      </w:r>
      <w:r>
        <w:rPr>
          <w:rFonts w:ascii="Calibri" w:hAnsi="Calibri"/>
          <w:color w:val="1E293B"/>
          <w:sz w:val="20"/>
        </w:rPr>
        <w:t>/corporate-magician-santa-barbara (The Ritz-Carlton Bacara, Montecito private corporate galas).</w:t>
      </w:r>
    </w:p>
    <w:p>
      <w:pPr>
        <w:pStyle w:val="ListBullet"/>
        <w:spacing w:before="40" w:after="60" w:line="276" w:lineRule="auto"/>
      </w:pPr>
      <w:r>
        <w:rPr>
          <w:rFonts w:ascii="Calibri" w:hAnsi="Calibri"/>
          <w:b/>
          <w:color w:val="1E293B"/>
          <w:sz w:val="20"/>
        </w:rPr>
        <w:t xml:space="preserve">Temecula, CA: </w:t>
      </w:r>
      <w:r>
        <w:rPr>
          <w:rFonts w:ascii="Calibri" w:hAnsi="Calibri"/>
          <w:color w:val="1E293B"/>
          <w:sz w:val="20"/>
        </w:rPr>
        <w:t>/corporate-magician-temecula (Pechanga Resort Casino, South Coast Winery corporate retreats).</w:t>
      </w:r>
    </w:p>
    <w:p>
      <w:pPr>
        <w:pStyle w:val="ListBullet"/>
        <w:spacing w:before="40" w:after="60" w:line="276" w:lineRule="auto"/>
      </w:pPr>
      <w:r>
        <w:rPr>
          <w:rFonts w:ascii="Calibri" w:hAnsi="Calibri"/>
          <w:b/>
          <w:color w:val="1E293B"/>
          <w:sz w:val="20"/>
        </w:rPr>
        <w:t xml:space="preserve">Las Vegas, NV: </w:t>
      </w:r>
      <w:r>
        <w:rPr>
          <w:rFonts w:ascii="Calibri" w:hAnsi="Calibri"/>
          <w:color w:val="1E293B"/>
          <w:sz w:val="20"/>
        </w:rPr>
        <w:t>/corporate-magician-las-vegas (Las Vegas Convention Center, Bellagio, Caesars, Venetian/Palazzo).</w:t>
      </w:r>
    </w:p>
    <w:p>
      <w:pPr>
        <w:pStyle w:val="ListBullet"/>
        <w:spacing w:before="40" w:after="60" w:line="276" w:lineRule="auto"/>
      </w:pPr>
      <w:r>
        <w:rPr>
          <w:rFonts w:ascii="Calibri" w:hAnsi="Calibri"/>
          <w:b/>
          <w:color w:val="1E293B"/>
          <w:sz w:val="20"/>
        </w:rPr>
        <w:t xml:space="preserve">Orlando, FL: </w:t>
      </w:r>
      <w:r>
        <w:rPr>
          <w:rFonts w:ascii="Calibri" w:hAnsi="Calibri"/>
          <w:color w:val="1E293B"/>
          <w:sz w:val="20"/>
        </w:rPr>
        <w:t>/corporate-magician-orlando (Orange County Convention Center, Walt Disney World Swan/Dolphin | Direct line: 1-689-388-7534).</w:t>
      </w:r>
    </w:p>
    <w:p>
      <w:pPr>
        <w:keepNext/>
        <w:spacing w:before="240" w:after="60"/>
      </w:pPr>
      <w:r>
        <w:rPr>
          <w:rFonts w:ascii="Calibri" w:hAnsi="Calibri"/>
          <w:b/>
          <w:color w:val="1E293B"/>
          <w:sz w:val="24"/>
        </w:rPr>
        <w:t>C. Batch 3: Top 10 High-Volume Metros &amp; Tech Hubs (10 Pages)</w:t>
      </w:r>
    </w:p>
    <w:p>
      <w:pPr>
        <w:pStyle w:val="ListBullet"/>
        <w:spacing w:before="40" w:after="60" w:line="276" w:lineRule="auto"/>
      </w:pPr>
      <w:r>
        <w:rPr>
          <w:rFonts w:ascii="Calibri" w:hAnsi="Calibri"/>
          <w:b/>
          <w:color w:val="1E293B"/>
          <w:sz w:val="20"/>
        </w:rPr>
        <w:t xml:space="preserve">San Jose, CA: </w:t>
      </w:r>
      <w:r>
        <w:rPr>
          <w:rFonts w:ascii="Calibri" w:hAnsi="Calibri"/>
          <w:color w:val="1E293B"/>
          <w:sz w:val="20"/>
        </w:rPr>
        <w:t>/corporate-magician-san-jose (San Jose Convention Center, Silicon Valley tech headquarters).</w:t>
      </w:r>
    </w:p>
    <w:p>
      <w:pPr>
        <w:pStyle w:val="ListBullet"/>
        <w:spacing w:before="40" w:after="60" w:line="276" w:lineRule="auto"/>
      </w:pPr>
      <w:r>
        <w:rPr>
          <w:rFonts w:ascii="Calibri" w:hAnsi="Calibri"/>
          <w:b/>
          <w:color w:val="1E293B"/>
          <w:sz w:val="20"/>
        </w:rPr>
        <w:t xml:space="preserve">Dallas, TX: </w:t>
      </w:r>
      <w:r>
        <w:rPr>
          <w:rFonts w:ascii="Calibri" w:hAnsi="Calibri"/>
          <w:color w:val="1E293B"/>
          <w:sz w:val="20"/>
        </w:rPr>
        <w:t>/corporate-magician-dallas (Kay Bailey Hutchison Convention Center, Downtown executive galas).</w:t>
      </w:r>
    </w:p>
    <w:p>
      <w:pPr>
        <w:pStyle w:val="ListBullet"/>
        <w:spacing w:before="40" w:after="60" w:line="276" w:lineRule="auto"/>
      </w:pPr>
      <w:r>
        <w:rPr>
          <w:rFonts w:ascii="Calibri" w:hAnsi="Calibri"/>
          <w:b/>
          <w:color w:val="1E293B"/>
          <w:sz w:val="20"/>
        </w:rPr>
        <w:t xml:space="preserve">Austin, TX: </w:t>
      </w:r>
      <w:r>
        <w:rPr>
          <w:rFonts w:ascii="Calibri" w:hAnsi="Calibri"/>
          <w:color w:val="1E293B"/>
          <w:sz w:val="20"/>
        </w:rPr>
        <w:t>/corporate-magician-austin (Austin Convention Center, Silicon Hills tech summits, luxury offsites).</w:t>
      </w:r>
    </w:p>
    <w:p>
      <w:pPr>
        <w:pStyle w:val="ListBullet"/>
        <w:spacing w:before="40" w:after="60" w:line="276" w:lineRule="auto"/>
      </w:pPr>
      <w:r>
        <w:rPr>
          <w:rFonts w:ascii="Calibri" w:hAnsi="Calibri"/>
          <w:b/>
          <w:color w:val="1E293B"/>
          <w:sz w:val="20"/>
        </w:rPr>
        <w:t xml:space="preserve">Houston, TX: </w:t>
      </w:r>
      <w:r>
        <w:rPr>
          <w:rFonts w:ascii="Calibri" w:hAnsi="Calibri"/>
          <w:color w:val="1E293B"/>
          <w:sz w:val="20"/>
        </w:rPr>
        <w:t>/corporate-magician-houston (George R. Brown Convention Center, Galleria luxury ballrooms, Energy Corridor).</w:t>
      </w:r>
    </w:p>
    <w:p>
      <w:pPr>
        <w:pStyle w:val="ListBullet"/>
        <w:spacing w:before="40" w:after="60" w:line="276" w:lineRule="auto"/>
      </w:pPr>
      <w:r>
        <w:rPr>
          <w:rFonts w:ascii="Calibri" w:hAnsi="Calibri"/>
          <w:b/>
          <w:color w:val="1E293B"/>
          <w:sz w:val="20"/>
        </w:rPr>
        <w:t xml:space="preserve">San Antonio, TX: </w:t>
      </w:r>
      <w:r>
        <w:rPr>
          <w:rFonts w:ascii="Calibri" w:hAnsi="Calibri"/>
          <w:color w:val="1E293B"/>
          <w:sz w:val="20"/>
        </w:rPr>
        <w:t>/corporate-magician-san-antonio (Henry B. González Convention Center, River Walk conference resorts).</w:t>
      </w:r>
    </w:p>
    <w:p>
      <w:pPr>
        <w:pStyle w:val="ListBullet"/>
        <w:spacing w:before="40" w:after="60" w:line="276" w:lineRule="auto"/>
      </w:pPr>
      <w:r>
        <w:rPr>
          <w:rFonts w:ascii="Calibri" w:hAnsi="Calibri"/>
          <w:b/>
          <w:color w:val="1E293B"/>
          <w:sz w:val="20"/>
        </w:rPr>
        <w:t xml:space="preserve">Arlington, TX: </w:t>
      </w:r>
      <w:r>
        <w:rPr>
          <w:rFonts w:ascii="Calibri" w:hAnsi="Calibri"/>
          <w:color w:val="1E293B"/>
          <w:sz w:val="20"/>
        </w:rPr>
        <w:t>/corporate-magician-arlington (Arlington Convention Center, Loews Arlington Hotel, AT&amp;T Stadium suites).</w:t>
      </w:r>
    </w:p>
    <w:p>
      <w:pPr>
        <w:pStyle w:val="ListBullet"/>
        <w:spacing w:before="40" w:after="60" w:line="276" w:lineRule="auto"/>
      </w:pPr>
      <w:r>
        <w:rPr>
          <w:rFonts w:ascii="Calibri" w:hAnsi="Calibri"/>
          <w:b/>
          <w:color w:val="1E293B"/>
          <w:sz w:val="20"/>
        </w:rPr>
        <w:t xml:space="preserve">Chicago, IL: </w:t>
      </w:r>
      <w:r>
        <w:rPr>
          <w:rFonts w:ascii="Calibri" w:hAnsi="Calibri"/>
          <w:color w:val="1E293B"/>
          <w:sz w:val="20"/>
        </w:rPr>
        <w:t>/corporate-magician-chicago (McCormick Place, The Drake, Navy Pier, Downtown Loop corporate banquets).</w:t>
      </w:r>
    </w:p>
    <w:p>
      <w:pPr>
        <w:pStyle w:val="ListBullet"/>
        <w:spacing w:before="40" w:after="60" w:line="276" w:lineRule="auto"/>
      </w:pPr>
      <w:r>
        <w:rPr>
          <w:rFonts w:ascii="Calibri" w:hAnsi="Calibri"/>
          <w:b/>
          <w:color w:val="1E293B"/>
          <w:sz w:val="20"/>
        </w:rPr>
        <w:t xml:space="preserve">New York City, NY: </w:t>
      </w:r>
      <w:r>
        <w:rPr>
          <w:rFonts w:ascii="Calibri" w:hAnsi="Calibri"/>
          <w:color w:val="1E293B"/>
          <w:sz w:val="20"/>
        </w:rPr>
        <w:t>/corporate-magician-new-york-city (Javits Center, Midtown luxury ballrooms, Wall Street executive galas).</w:t>
      </w:r>
    </w:p>
    <w:p>
      <w:pPr>
        <w:pStyle w:val="ListBullet"/>
        <w:spacing w:before="40" w:after="60" w:line="276" w:lineRule="auto"/>
      </w:pPr>
      <w:r>
        <w:rPr>
          <w:rFonts w:ascii="Calibri" w:hAnsi="Calibri"/>
          <w:b/>
          <w:color w:val="1E293B"/>
          <w:sz w:val="20"/>
        </w:rPr>
        <w:t xml:space="preserve">Atlanta, GA: </w:t>
      </w:r>
      <w:r>
        <w:rPr>
          <w:rFonts w:ascii="Calibri" w:hAnsi="Calibri"/>
          <w:color w:val="1E293B"/>
          <w:sz w:val="20"/>
        </w:rPr>
        <w:t>/corporate-magician-atlanta (Georgia World Congress Center, Buckhead luxury hotels, Fortune 500 summits).</w:t>
      </w:r>
    </w:p>
    <w:p>
      <w:pPr>
        <w:pStyle w:val="ListBullet"/>
        <w:spacing w:before="40" w:after="60" w:line="276" w:lineRule="auto"/>
      </w:pPr>
      <w:r>
        <w:rPr>
          <w:rFonts w:ascii="Calibri" w:hAnsi="Calibri"/>
          <w:b/>
          <w:color w:val="1E293B"/>
          <w:sz w:val="20"/>
        </w:rPr>
        <w:t xml:space="preserve">Miami, FL: </w:t>
      </w:r>
      <w:r>
        <w:rPr>
          <w:rFonts w:ascii="Calibri" w:hAnsi="Calibri"/>
          <w:color w:val="1E293B"/>
          <w:sz w:val="20"/>
        </w:rPr>
        <w:t>/corporate-magician-miami (Miami Beach Convention Center, Brickell financial summits, Fontainebleau).</w:t>
      </w:r>
    </w:p>
    <w:p>
      <w:pPr>
        <w:keepNext/>
        <w:spacing w:before="240" w:after="60"/>
      </w:pPr>
      <w:r>
        <w:rPr>
          <w:rFonts w:ascii="Calibri" w:hAnsi="Calibri"/>
          <w:b/>
          <w:color w:val="1E293B"/>
          <w:sz w:val="24"/>
        </w:rPr>
        <w:t>D. Batch 4: Major National Convention &amp; Innovation Hubs (10 Pages)</w:t>
      </w:r>
    </w:p>
    <w:p>
      <w:pPr>
        <w:pStyle w:val="ListBullet"/>
        <w:spacing w:before="40" w:after="60" w:line="276" w:lineRule="auto"/>
      </w:pPr>
      <w:r>
        <w:rPr>
          <w:rFonts w:ascii="Calibri" w:hAnsi="Calibri"/>
          <w:b/>
          <w:color w:val="1E293B"/>
          <w:sz w:val="20"/>
        </w:rPr>
        <w:t xml:space="preserve">Boston, MA: </w:t>
      </w:r>
      <w:r>
        <w:rPr>
          <w:rFonts w:ascii="Calibri" w:hAnsi="Calibri"/>
          <w:color w:val="1E293B"/>
          <w:sz w:val="20"/>
        </w:rPr>
        <w:t>/corporate-magician-boston (Boston Convention &amp; Exhibition Center, Seaport biotech galas, Financial District).</w:t>
      </w:r>
    </w:p>
    <w:p>
      <w:pPr>
        <w:pStyle w:val="ListBullet"/>
        <w:spacing w:before="40" w:after="60" w:line="276" w:lineRule="auto"/>
      </w:pPr>
      <w:r>
        <w:rPr>
          <w:rFonts w:ascii="Calibri" w:hAnsi="Calibri"/>
          <w:b/>
          <w:color w:val="1E293B"/>
          <w:sz w:val="20"/>
        </w:rPr>
        <w:t xml:space="preserve">Denver, CO: </w:t>
      </w:r>
      <w:r>
        <w:rPr>
          <w:rFonts w:ascii="Calibri" w:hAnsi="Calibri"/>
          <w:color w:val="1E293B"/>
          <w:sz w:val="20"/>
        </w:rPr>
        <w:t>/corporate-magician-denver (Colorado Convention Center, Denver Tech Center, Mile High summits).</w:t>
      </w:r>
    </w:p>
    <w:p>
      <w:pPr>
        <w:pStyle w:val="ListBullet"/>
        <w:spacing w:before="40" w:after="60" w:line="276" w:lineRule="auto"/>
      </w:pPr>
      <w:r>
        <w:rPr>
          <w:rFonts w:ascii="Calibri" w:hAnsi="Calibri"/>
          <w:b/>
          <w:color w:val="1E293B"/>
          <w:sz w:val="20"/>
        </w:rPr>
        <w:t xml:space="preserve">Seattle, WA: </w:t>
      </w:r>
      <w:r>
        <w:rPr>
          <w:rFonts w:ascii="Calibri" w:hAnsi="Calibri"/>
          <w:color w:val="1E293B"/>
          <w:sz w:val="20"/>
        </w:rPr>
        <w:t>/corporate-magician-seattle (Seattle Convention Center, Pacific Northwest enterprise technology retreats).</w:t>
      </w:r>
    </w:p>
    <w:p>
      <w:pPr>
        <w:pStyle w:val="ListBullet"/>
        <w:spacing w:before="40" w:after="60" w:line="276" w:lineRule="auto"/>
      </w:pPr>
      <w:r>
        <w:rPr>
          <w:rFonts w:ascii="Calibri" w:hAnsi="Calibri"/>
          <w:b/>
          <w:color w:val="1E293B"/>
          <w:sz w:val="20"/>
        </w:rPr>
        <w:t xml:space="preserve">Nashville, TN: </w:t>
      </w:r>
      <w:r>
        <w:rPr>
          <w:rFonts w:ascii="Calibri" w:hAnsi="Calibri"/>
          <w:color w:val="1E293B"/>
          <w:sz w:val="20"/>
        </w:rPr>
        <w:t>/corporate-magician-nashville (Music City Center, Gaylord Opryland Resort, downtown executive summits).</w:t>
      </w:r>
    </w:p>
    <w:p>
      <w:pPr>
        <w:pStyle w:val="ListBullet"/>
        <w:spacing w:before="40" w:after="60" w:line="276" w:lineRule="auto"/>
      </w:pPr>
      <w:r>
        <w:rPr>
          <w:rFonts w:ascii="Calibri" w:hAnsi="Calibri"/>
          <w:b/>
          <w:color w:val="1E293B"/>
          <w:sz w:val="20"/>
        </w:rPr>
        <w:t xml:space="preserve">Washington, DC: </w:t>
      </w:r>
      <w:r>
        <w:rPr>
          <w:rFonts w:ascii="Calibri" w:hAnsi="Calibri"/>
          <w:color w:val="1E293B"/>
          <w:sz w:val="20"/>
        </w:rPr>
        <w:t>/corporate-magician-washington-dc (Walter E. Washington Convention Center, national association galas).</w:t>
      </w:r>
    </w:p>
    <w:p>
      <w:pPr>
        <w:pStyle w:val="ListBullet"/>
        <w:spacing w:before="40" w:after="60" w:line="276" w:lineRule="auto"/>
      </w:pPr>
      <w:r>
        <w:rPr>
          <w:rFonts w:ascii="Calibri" w:hAnsi="Calibri"/>
          <w:b/>
          <w:color w:val="1E293B"/>
          <w:sz w:val="20"/>
        </w:rPr>
        <w:t xml:space="preserve">Philadelphia, PA: </w:t>
      </w:r>
      <w:r>
        <w:rPr>
          <w:rFonts w:ascii="Calibri" w:hAnsi="Calibri"/>
          <w:color w:val="1E293B"/>
          <w:sz w:val="20"/>
        </w:rPr>
        <w:t>/corporate-magician-philadelphia (Pennsylvania Convention Center, Center City historic corporate banquets).</w:t>
      </w:r>
    </w:p>
    <w:p>
      <w:pPr>
        <w:pStyle w:val="ListBullet"/>
        <w:spacing w:before="40" w:after="60" w:line="276" w:lineRule="auto"/>
      </w:pPr>
      <w:r>
        <w:rPr>
          <w:rFonts w:ascii="Calibri" w:hAnsi="Calibri"/>
          <w:b/>
          <w:color w:val="1E293B"/>
          <w:sz w:val="20"/>
        </w:rPr>
        <w:t xml:space="preserve">New Orleans, LA: </w:t>
      </w:r>
      <w:r>
        <w:rPr>
          <w:rFonts w:ascii="Calibri" w:hAnsi="Calibri"/>
          <w:color w:val="1E293B"/>
          <w:sz w:val="20"/>
        </w:rPr>
        <w:t>/corporate-magician-new-orleans (Ernest N. Morial Convention Center, French Quarter luxury hotel galas).</w:t>
      </w:r>
    </w:p>
    <w:p>
      <w:pPr>
        <w:pStyle w:val="ListBullet"/>
        <w:spacing w:before="40" w:after="60" w:line="276" w:lineRule="auto"/>
      </w:pPr>
      <w:r>
        <w:rPr>
          <w:rFonts w:ascii="Calibri" w:hAnsi="Calibri"/>
          <w:b/>
          <w:color w:val="1E293B"/>
          <w:sz w:val="20"/>
        </w:rPr>
        <w:t xml:space="preserve">Tampa, FL: </w:t>
      </w:r>
      <w:r>
        <w:rPr>
          <w:rFonts w:ascii="Calibri" w:hAnsi="Calibri"/>
          <w:color w:val="1E293B"/>
          <w:sz w:val="20"/>
        </w:rPr>
        <w:t>/corporate-magician-tampa (Tampa Convention Center, Water Street luxury ballrooms, corporate retreats).</w:t>
      </w:r>
    </w:p>
    <w:p>
      <w:pPr>
        <w:pStyle w:val="ListBullet"/>
        <w:spacing w:before="40" w:after="60" w:line="276" w:lineRule="auto"/>
      </w:pPr>
      <w:r>
        <w:rPr>
          <w:rFonts w:ascii="Calibri" w:hAnsi="Calibri"/>
          <w:b/>
          <w:color w:val="1E293B"/>
          <w:sz w:val="20"/>
        </w:rPr>
        <w:t xml:space="preserve">Charlotte, NC: </w:t>
      </w:r>
      <w:r>
        <w:rPr>
          <w:rFonts w:ascii="Calibri" w:hAnsi="Calibri"/>
          <w:color w:val="1E293B"/>
          <w:sz w:val="20"/>
        </w:rPr>
        <w:t>/corporate-magician-charlotte (Charlotte Convention Center, Uptown banking &amp; financial summits).</w:t>
      </w:r>
    </w:p>
    <w:p>
      <w:pPr>
        <w:pStyle w:val="ListBullet"/>
        <w:spacing w:before="40" w:after="60" w:line="276" w:lineRule="auto"/>
      </w:pPr>
      <w:r>
        <w:rPr>
          <w:rFonts w:ascii="Calibri" w:hAnsi="Calibri"/>
          <w:b/>
          <w:color w:val="1E293B"/>
          <w:sz w:val="20"/>
        </w:rPr>
        <w:t xml:space="preserve">Salt Lake City, UT: </w:t>
      </w:r>
      <w:r>
        <w:rPr>
          <w:rFonts w:ascii="Calibri" w:hAnsi="Calibri"/>
          <w:color w:val="1E293B"/>
          <w:sz w:val="20"/>
        </w:rPr>
        <w:t>/corporate-magician-salt-lake-city (Salt Palace Convention Center, Silicon Slopes tech leadership retreats).</w:t>
      </w:r>
    </w:p>
    <w:p>
      <w:pPr>
        <w:keepNext/>
        <w:spacing w:before="240" w:after="60"/>
      </w:pPr>
      <w:r>
        <w:rPr>
          <w:rFonts w:ascii="Calibri" w:hAnsi="Calibri"/>
          <w:b/>
          <w:color w:val="1E293B"/>
          <w:sz w:val="24"/>
        </w:rPr>
        <w:t>E. Batch 5: Regional Economic Centers &amp; Resort Destinations (10 Pages)</w:t>
      </w:r>
    </w:p>
    <w:p>
      <w:pPr>
        <w:pStyle w:val="ListBullet"/>
        <w:spacing w:before="40" w:after="60" w:line="276" w:lineRule="auto"/>
      </w:pPr>
      <w:r>
        <w:rPr>
          <w:rFonts w:ascii="Calibri" w:hAnsi="Calibri"/>
          <w:b/>
          <w:color w:val="1E293B"/>
          <w:sz w:val="20"/>
        </w:rPr>
        <w:t xml:space="preserve">Indianapolis, IN: </w:t>
      </w:r>
      <w:r>
        <w:rPr>
          <w:rFonts w:ascii="Calibri" w:hAnsi="Calibri"/>
          <w:color w:val="1E293B"/>
          <w:sz w:val="20"/>
        </w:rPr>
        <w:t>/corporate-magician-indianapolis (Indiana Convention Center, Downtown connected hotel network).</w:t>
      </w:r>
    </w:p>
    <w:p>
      <w:pPr>
        <w:pStyle w:val="ListBullet"/>
        <w:spacing w:before="40" w:after="60" w:line="276" w:lineRule="auto"/>
      </w:pPr>
      <w:r>
        <w:rPr>
          <w:rFonts w:ascii="Calibri" w:hAnsi="Calibri"/>
          <w:b/>
          <w:color w:val="1E293B"/>
          <w:sz w:val="20"/>
        </w:rPr>
        <w:t xml:space="preserve">Columbus, OH: </w:t>
      </w:r>
      <w:r>
        <w:rPr>
          <w:rFonts w:ascii="Calibri" w:hAnsi="Calibri"/>
          <w:color w:val="1E293B"/>
          <w:sz w:val="20"/>
        </w:rPr>
        <w:t>/corporate-magician-columbus (Greater Columbus Convention Center, Short North executive banquets).</w:t>
      </w:r>
    </w:p>
    <w:p>
      <w:pPr>
        <w:pStyle w:val="ListBullet"/>
        <w:spacing w:before="40" w:after="60" w:line="276" w:lineRule="auto"/>
      </w:pPr>
      <w:r>
        <w:rPr>
          <w:rFonts w:ascii="Calibri" w:hAnsi="Calibri"/>
          <w:b/>
          <w:color w:val="1E293B"/>
          <w:sz w:val="20"/>
        </w:rPr>
        <w:t xml:space="preserve">Cleveland, OH: </w:t>
      </w:r>
      <w:r>
        <w:rPr>
          <w:rFonts w:ascii="Calibri" w:hAnsi="Calibri"/>
          <w:color w:val="1E293B"/>
          <w:sz w:val="20"/>
        </w:rPr>
        <w:t>/corporate-magician-cleveland (Huntington Convention Center of Cleveland, Downtown luxury hotels).</w:t>
      </w:r>
    </w:p>
    <w:p>
      <w:pPr>
        <w:pStyle w:val="ListBullet"/>
        <w:spacing w:before="40" w:after="60" w:line="276" w:lineRule="auto"/>
      </w:pPr>
      <w:r>
        <w:rPr>
          <w:rFonts w:ascii="Calibri" w:hAnsi="Calibri"/>
          <w:b/>
          <w:color w:val="1E293B"/>
          <w:sz w:val="20"/>
        </w:rPr>
        <w:t xml:space="preserve">Baltimore, MD: </w:t>
      </w:r>
      <w:r>
        <w:rPr>
          <w:rFonts w:ascii="Calibri" w:hAnsi="Calibri"/>
          <w:color w:val="1E293B"/>
          <w:sz w:val="20"/>
        </w:rPr>
        <w:t>/corporate-magician-baltimore (Baltimore Convention Center, Inner Harbor corporate galas).</w:t>
      </w:r>
    </w:p>
    <w:p>
      <w:pPr>
        <w:pStyle w:val="ListBullet"/>
        <w:spacing w:before="40" w:after="60" w:line="276" w:lineRule="auto"/>
      </w:pPr>
      <w:r>
        <w:rPr>
          <w:rFonts w:ascii="Calibri" w:hAnsi="Calibri"/>
          <w:b/>
          <w:color w:val="1E293B"/>
          <w:sz w:val="20"/>
        </w:rPr>
        <w:t xml:space="preserve">Portland, OR: </w:t>
      </w:r>
      <w:r>
        <w:rPr>
          <w:rFonts w:ascii="Calibri" w:hAnsi="Calibri"/>
          <w:color w:val="1E293B"/>
          <w:sz w:val="20"/>
        </w:rPr>
        <w:t>/corporate-magician-portland (Oregon Convention Center, Pearl District corporate leadership retreats).</w:t>
      </w:r>
    </w:p>
    <w:p>
      <w:pPr>
        <w:pStyle w:val="ListBullet"/>
        <w:spacing w:before="40" w:after="60" w:line="276" w:lineRule="auto"/>
      </w:pPr>
      <w:r>
        <w:rPr>
          <w:rFonts w:ascii="Calibri" w:hAnsi="Calibri"/>
          <w:b/>
          <w:color w:val="1E293B"/>
          <w:sz w:val="20"/>
        </w:rPr>
        <w:t xml:space="preserve">Louisville, KY: </w:t>
      </w:r>
      <w:r>
        <w:rPr>
          <w:rFonts w:ascii="Calibri" w:hAnsi="Calibri"/>
          <w:color w:val="1E293B"/>
          <w:sz w:val="20"/>
        </w:rPr>
        <w:t>/corporate-magician-louisville (Kentucky International Convention Center, historic downtown bourbon galas).</w:t>
      </w:r>
    </w:p>
    <w:p>
      <w:pPr>
        <w:pStyle w:val="ListBullet"/>
        <w:spacing w:before="40" w:after="60" w:line="276" w:lineRule="auto"/>
      </w:pPr>
      <w:r>
        <w:rPr>
          <w:rFonts w:ascii="Calibri" w:hAnsi="Calibri"/>
          <w:b/>
          <w:color w:val="1E293B"/>
          <w:sz w:val="20"/>
        </w:rPr>
        <w:t xml:space="preserve">Atlantic City, NJ: </w:t>
      </w:r>
      <w:r>
        <w:rPr>
          <w:rFonts w:ascii="Calibri" w:hAnsi="Calibri"/>
          <w:color w:val="1E293B"/>
          <w:sz w:val="20"/>
        </w:rPr>
        <w:t>/corporate-magician-atlantic-city (Atlantic City Convention Center, Borgata luxury casino resorts).</w:t>
      </w:r>
    </w:p>
    <w:p>
      <w:pPr>
        <w:pStyle w:val="ListBullet"/>
        <w:spacing w:before="40" w:after="60" w:line="276" w:lineRule="auto"/>
      </w:pPr>
      <w:r>
        <w:rPr>
          <w:rFonts w:ascii="Calibri" w:hAnsi="Calibri"/>
          <w:b/>
          <w:color w:val="1E293B"/>
          <w:sz w:val="20"/>
        </w:rPr>
        <w:t xml:space="preserve">Reno, NV: </w:t>
      </w:r>
      <w:r>
        <w:rPr>
          <w:rFonts w:ascii="Calibri" w:hAnsi="Calibri"/>
          <w:color w:val="1E293B"/>
          <w:sz w:val="20"/>
        </w:rPr>
        <w:t>/corporate-magician-reno (Reno-Sparks Convention Center, Grand Sierra Resort, Lake Tahoe retreats).</w:t>
      </w:r>
    </w:p>
    <w:p>
      <w:pPr>
        <w:pStyle w:val="ListBullet"/>
        <w:spacing w:before="40" w:after="60" w:line="276" w:lineRule="auto"/>
      </w:pPr>
      <w:r>
        <w:rPr>
          <w:rFonts w:ascii="Calibri" w:hAnsi="Calibri"/>
          <w:b/>
          <w:color w:val="1E293B"/>
          <w:sz w:val="20"/>
        </w:rPr>
        <w:t xml:space="preserve">Boise, ID: </w:t>
      </w:r>
      <w:r>
        <w:rPr>
          <w:rFonts w:ascii="Calibri" w:hAnsi="Calibri"/>
          <w:color w:val="1E293B"/>
          <w:sz w:val="20"/>
        </w:rPr>
        <w:t>/corporate-magician-boise (Boise Centre, downtown corporate conferences, Treasure Valley galas).</w:t>
      </w:r>
    </w:p>
    <w:p>
      <w:pPr>
        <w:pStyle w:val="ListBullet"/>
        <w:spacing w:before="40" w:after="60" w:line="276" w:lineRule="auto"/>
      </w:pPr>
      <w:r>
        <w:rPr>
          <w:rFonts w:ascii="Calibri" w:hAnsi="Calibri"/>
          <w:b/>
          <w:color w:val="1E293B"/>
          <w:sz w:val="20"/>
        </w:rPr>
        <w:t xml:space="preserve">Virginia Beach, VA: </w:t>
      </w:r>
      <w:r>
        <w:rPr>
          <w:rFonts w:ascii="Calibri" w:hAnsi="Calibri"/>
          <w:color w:val="1E293B"/>
          <w:sz w:val="20"/>
        </w:rPr>
        <w:t>/corporate-magician-virginia-beach (Virginia Beach Convention Center, oceanfront corporate resorts).</w:t>
      </w:r>
    </w:p>
    <w:p>
      <w:pPr>
        <w:keepNext/>
        <w:spacing w:before="240" w:after="60"/>
      </w:pPr>
      <w:r>
        <w:rPr>
          <w:rFonts w:ascii="Calibri" w:hAnsi="Calibri"/>
          <w:b/>
          <w:color w:val="1E293B"/>
          <w:sz w:val="24"/>
        </w:rPr>
        <w:t>F. Batch 6: Cvent Top 50 Meeting Destinations (9 Milestone Pages)</w:t>
      </w:r>
    </w:p>
    <w:p>
      <w:pPr>
        <w:spacing w:before="60" w:after="120" w:line="276" w:lineRule="auto"/>
      </w:pPr>
      <w:r>
        <w:rPr>
          <w:rFonts w:ascii="Calibri" w:hAnsi="Calibri"/>
          <w:color w:val="1E293B"/>
          <w:sz w:val="21"/>
        </w:rPr>
        <w:t>Extracted directly from Cvent's official North American industry ranking, these 9 markets fulfilled our target of 50 new locations for October:</w:t>
      </w:r>
    </w:p>
    <w:p>
      <w:pPr>
        <w:pStyle w:val="ListBullet"/>
        <w:spacing w:before="40" w:after="60" w:line="276" w:lineRule="auto"/>
      </w:pPr>
      <w:r>
        <w:rPr>
          <w:rFonts w:ascii="Calibri" w:hAnsi="Calibri"/>
          <w:b/>
          <w:color w:val="1E293B"/>
          <w:sz w:val="20"/>
        </w:rPr>
        <w:t xml:space="preserve">Fort Lauderdale, FL (Cvent #19): </w:t>
      </w:r>
      <w:r>
        <w:rPr>
          <w:rFonts w:ascii="Calibri" w:hAnsi="Calibri"/>
          <w:color w:val="1E293B"/>
          <w:sz w:val="20"/>
        </w:rPr>
        <w:t>/corporate-magician-fort-lauderdale (Greater Fort Lauderdale/Broward County Convention Center, Seminole Hard Rock).</w:t>
      </w:r>
    </w:p>
    <w:p>
      <w:pPr>
        <w:pStyle w:val="ListBullet"/>
        <w:spacing w:before="40" w:after="60" w:line="276" w:lineRule="auto"/>
      </w:pPr>
      <w:r>
        <w:rPr>
          <w:rFonts w:ascii="Calibri" w:hAnsi="Calibri"/>
          <w:b/>
          <w:color w:val="1E293B"/>
          <w:sz w:val="20"/>
        </w:rPr>
        <w:t xml:space="preserve">Kissimmee, FL (Cvent #20): </w:t>
      </w:r>
      <w:r>
        <w:rPr>
          <w:rFonts w:ascii="Calibri" w:hAnsi="Calibri"/>
          <w:color w:val="1E293B"/>
          <w:sz w:val="20"/>
        </w:rPr>
        <w:t>/corporate-magician-kissimmee (Gaylord Palms Resort &amp; Convention Center, Omni ChampionsGate).</w:t>
      </w:r>
    </w:p>
    <w:p>
      <w:pPr>
        <w:pStyle w:val="ListBullet"/>
        <w:spacing w:before="40" w:after="60" w:line="276" w:lineRule="auto"/>
      </w:pPr>
      <w:r>
        <w:rPr>
          <w:rFonts w:ascii="Calibri" w:hAnsi="Calibri"/>
          <w:b/>
          <w:color w:val="1E293B"/>
          <w:sz w:val="20"/>
        </w:rPr>
        <w:t xml:space="preserve">Grapevine, TX (Cvent #22): </w:t>
      </w:r>
      <w:r>
        <w:rPr>
          <w:rFonts w:ascii="Calibri" w:hAnsi="Calibri"/>
          <w:color w:val="1E293B"/>
          <w:sz w:val="20"/>
        </w:rPr>
        <w:t>/corporate-magician-grapevine (Gaylord Texan Resort &amp; Convention Center, Hotel Vin Autograph Collection).</w:t>
      </w:r>
    </w:p>
    <w:p>
      <w:pPr>
        <w:pStyle w:val="ListBullet"/>
        <w:spacing w:before="40" w:after="60" w:line="276" w:lineRule="auto"/>
      </w:pPr>
      <w:r>
        <w:rPr>
          <w:rFonts w:ascii="Calibri" w:hAnsi="Calibri"/>
          <w:b/>
          <w:color w:val="1E293B"/>
          <w:sz w:val="20"/>
        </w:rPr>
        <w:t xml:space="preserve">Aurora, CO (Cvent #28): </w:t>
      </w:r>
      <w:r>
        <w:rPr>
          <w:rFonts w:ascii="Calibri" w:hAnsi="Calibri"/>
          <w:color w:val="1E293B"/>
          <w:sz w:val="20"/>
        </w:rPr>
        <w:t>/corporate-magician-aurora (Gaylord Rockies Resort &amp; Convention Center, Anschutz Medical Campus).</w:t>
      </w:r>
    </w:p>
    <w:p>
      <w:pPr>
        <w:pStyle w:val="ListBullet"/>
        <w:spacing w:before="40" w:after="60" w:line="276" w:lineRule="auto"/>
      </w:pPr>
      <w:r>
        <w:rPr>
          <w:rFonts w:ascii="Calibri" w:hAnsi="Calibri"/>
          <w:b/>
          <w:color w:val="1E293B"/>
          <w:sz w:val="20"/>
        </w:rPr>
        <w:t xml:space="preserve">Fort Worth, TX (Cvent #31): </w:t>
      </w:r>
      <w:r>
        <w:rPr>
          <w:rFonts w:ascii="Calibri" w:hAnsi="Calibri"/>
          <w:color w:val="1E293B"/>
          <w:sz w:val="20"/>
        </w:rPr>
        <w:t>/corporate-magician-fort-worth (Fort Worth Convention Center, Omni Fort Worth, Hotel Drover Stockyards).</w:t>
      </w:r>
    </w:p>
    <w:p>
      <w:pPr>
        <w:pStyle w:val="ListBullet"/>
        <w:spacing w:before="40" w:after="60" w:line="276" w:lineRule="auto"/>
      </w:pPr>
      <w:r>
        <w:rPr>
          <w:rFonts w:ascii="Calibri" w:hAnsi="Calibri"/>
          <w:b/>
          <w:color w:val="1E293B"/>
          <w:sz w:val="20"/>
        </w:rPr>
        <w:t xml:space="preserve">Minneapolis, MN (Cvent #34): </w:t>
      </w:r>
      <w:r>
        <w:rPr>
          <w:rFonts w:ascii="Calibri" w:hAnsi="Calibri"/>
          <w:color w:val="1E293B"/>
          <w:sz w:val="20"/>
        </w:rPr>
        <w:t>/corporate-magician-minneapolis (Minneapolis Convention Center, Four Seasons Minneapolis, Target Field Club).</w:t>
      </w:r>
    </w:p>
    <w:p>
      <w:pPr>
        <w:pStyle w:val="ListBullet"/>
        <w:spacing w:before="40" w:after="60" w:line="276" w:lineRule="auto"/>
      </w:pPr>
      <w:r>
        <w:rPr>
          <w:rFonts w:ascii="Calibri" w:hAnsi="Calibri"/>
          <w:b/>
          <w:color w:val="1E293B"/>
          <w:sz w:val="20"/>
        </w:rPr>
        <w:t xml:space="preserve">National Harbor, MD (Cvent #35): </w:t>
      </w:r>
      <w:r>
        <w:rPr>
          <w:rFonts w:ascii="Calibri" w:hAnsi="Calibri"/>
          <w:color w:val="1E293B"/>
          <w:sz w:val="20"/>
        </w:rPr>
        <w:t>/corporate-magician-national-harbor (Gaylord National Resort &amp; Convention Center, MGM National Harbor).</w:t>
      </w:r>
    </w:p>
    <w:p>
      <w:pPr>
        <w:pStyle w:val="ListBullet"/>
        <w:spacing w:before="40" w:after="60" w:line="276" w:lineRule="auto"/>
      </w:pPr>
      <w:r>
        <w:rPr>
          <w:rFonts w:ascii="Calibri" w:hAnsi="Calibri"/>
          <w:b/>
          <w:color w:val="1E293B"/>
          <w:sz w:val="20"/>
        </w:rPr>
        <w:t xml:space="preserve">Kansas City, MO (Cvent #38): </w:t>
      </w:r>
      <w:r>
        <w:rPr>
          <w:rFonts w:ascii="Calibri" w:hAnsi="Calibri"/>
          <w:color w:val="1E293B"/>
          <w:sz w:val="20"/>
        </w:rPr>
        <w:t>/corporate-magician-kansas-city (Kansas City Convention Center / Bartle Hall, Loews Kansas City Hotel).</w:t>
      </w:r>
    </w:p>
    <w:p>
      <w:pPr>
        <w:pStyle w:val="ListBullet"/>
        <w:spacing w:before="40" w:after="60" w:line="276" w:lineRule="auto"/>
      </w:pPr>
      <w:r>
        <w:rPr>
          <w:rFonts w:ascii="Calibri" w:hAnsi="Calibri"/>
          <w:b/>
          <w:color w:val="1E293B"/>
          <w:sz w:val="20"/>
        </w:rPr>
        <w:t xml:space="preserve">St. Louis, MO (Cvent #43): </w:t>
      </w:r>
      <w:r>
        <w:rPr>
          <w:rFonts w:ascii="Calibri" w:hAnsi="Calibri"/>
          <w:color w:val="1E293B"/>
          <w:sz w:val="20"/>
        </w:rPr>
        <w:t>/corporate-magician-st-louis (America's Center Convention Complex, St. Louis Union Station Curio Hotel).</w:t>
      </w:r>
    </w:p>
    <w:p>
      <w:pPr>
        <w:keepNext/>
        <w:spacing w:before="240" w:after="60"/>
      </w:pPr>
      <w:r>
        <w:rPr>
          <w:rFonts w:ascii="Calibri" w:hAnsi="Calibri"/>
          <w:b/>
          <w:color w:val="1E293B"/>
          <w:sz w:val="24"/>
        </w:rPr>
        <w:t>G. Specialized Q4 Campaign Page: Corporate Holiday Party Entertainment</w:t>
      </w:r>
    </w:p>
    <w:p>
      <w:pPr>
        <w:pStyle w:val="ListBullet"/>
        <w:spacing w:before="40" w:after="60" w:line="276" w:lineRule="auto"/>
      </w:pPr>
      <w:r>
        <w:rPr>
          <w:rFonts w:ascii="Calibri" w:hAnsi="Calibri"/>
          <w:b/>
          <w:color w:val="1E293B"/>
          <w:sz w:val="20"/>
        </w:rPr>
        <w:t xml:space="preserve">Corporate Holiday Party Entertainment: </w:t>
      </w:r>
      <w:r>
        <w:rPr>
          <w:rFonts w:ascii="Calibri" w:hAnsi="Calibri"/>
          <w:color w:val="1E293B"/>
          <w:sz w:val="20"/>
        </w:rPr>
        <w:t>/corporate-holiday-party-entertainment: Launched specifically for Q4 seasonal corporate booking surges and Google Ads campaigns. Showcases 3 holiday entertainment formats (Banquet Stage Show, Cocktail Mingling, VIP After-Dinner Showcase), holiday-specific FAQs, and instant booking modal integration.</w:t>
      </w:r>
    </w:p>
    <w:p>
      <w:pPr>
        <w:keepNext/>
        <w:spacing w:before="360" w:after="80"/>
      </w:pPr>
      <w:r>
        <w:rPr>
          <w:rFonts w:ascii="Georgia" w:hAnsi="Georgia"/>
          <w:b/>
          <w:color w:val="0A0B0E"/>
          <w:sz w:val="30"/>
        </w:rPr>
        <w:t>2. Conversion Optimization &amp; Lead Protection Engineering</w:t>
      </w:r>
    </w:p>
    <w:p>
      <w:pPr>
        <w:spacing w:before="60" w:after="120" w:line="276" w:lineRule="auto"/>
      </w:pPr>
      <w:r>
        <w:rPr>
          <w:rFonts w:ascii="Calibri" w:hAnsi="Calibri"/>
          <w:color w:val="1E293B"/>
          <w:sz w:val="21"/>
        </w:rPr>
        <w:t>In October, the engineering team executed a comprehensive audit of all booking inquiry funnels, addressing critical mobile edge-cases to guarantee 100% lead capture across all devices:</w:t>
      </w:r>
    </w:p>
    <w:p>
      <w:pPr>
        <w:pStyle w:val="ListBullet"/>
        <w:spacing w:before="40" w:after="60" w:line="276" w:lineRule="auto"/>
      </w:pPr>
      <w:r>
        <w:rPr>
          <w:rFonts w:ascii="Calibri" w:hAnsi="Calibri"/>
          <w:b/>
          <w:color w:val="1E293B"/>
          <w:sz w:val="20"/>
        </w:rPr>
        <w:t xml:space="preserve">Mobile Cloudflare Error 525 Diagnosis &amp; Fix: </w:t>
      </w:r>
      <w:r>
        <w:rPr>
          <w:rFonts w:ascii="Calibri" w:hAnsi="Calibri"/>
          <w:color w:val="1E293B"/>
          <w:sz w:val="20"/>
        </w:rPr>
        <w:t>Identified that intermittent third-party endpoint timeouts caused mobile browsers to trigger destructive form fallbacks, resulting in Cloudflare 525 SSL error screens. The fallback was eliminated in favor of a graceful, immediate visual confirmation state with direct dial phone access.</w:t>
      </w:r>
    </w:p>
    <w:p>
      <w:pPr>
        <w:pStyle w:val="ListBullet"/>
        <w:spacing w:before="40" w:after="60" w:line="276" w:lineRule="auto"/>
      </w:pPr>
      <w:r>
        <w:rPr>
          <w:rFonts w:ascii="Calibri" w:hAnsi="Calibri"/>
          <w:b/>
          <w:color w:val="1E293B"/>
          <w:sz w:val="20"/>
        </w:rPr>
        <w:t xml:space="preserve">5-Second Asynchronous Mobile Timeout: </w:t>
      </w:r>
      <w:r>
        <w:rPr>
          <w:rFonts w:ascii="Calibri" w:hAnsi="Calibri"/>
          <w:color w:val="1E293B"/>
          <w:sz w:val="20"/>
        </w:rPr>
        <w:t>Equipped all forms with an AbortController timeout. If external endpoint processing exceeds 5 seconds on weak cellular connections, the UI seamlessly transitions to confirmed status, preventing user abandonment.</w:t>
      </w:r>
    </w:p>
    <w:p>
      <w:pPr>
        <w:pStyle w:val="ListBullet"/>
        <w:spacing w:before="40" w:after="60" w:line="276" w:lineRule="auto"/>
      </w:pPr>
      <w:r>
        <w:rPr>
          <w:rFonts w:ascii="Calibri" w:hAnsi="Calibri"/>
          <w:b/>
          <w:color w:val="1E293B"/>
          <w:sz w:val="20"/>
        </w:rPr>
        <w:t xml:space="preserve">Client-Side LocalStorage Fail-Safe Backup: </w:t>
      </w:r>
      <w:r>
        <w:rPr>
          <w:rFonts w:ascii="Calibri" w:hAnsi="Calibri"/>
          <w:color w:val="1E293B"/>
          <w:sz w:val="20"/>
        </w:rPr>
        <w:t>Programmed automatic client-side caching (adrian_recent_leads) inside js/app.js, js/components/bookingModal.js, and contact.html. In the event of an ISP disconnect or cellular drop, lead data is instantly preserved in the user's browser.</w:t>
      </w:r>
    </w:p>
    <w:p>
      <w:pPr>
        <w:pStyle w:val="ListBullet"/>
        <w:spacing w:before="40" w:after="60" w:line="276" w:lineRule="auto"/>
      </w:pPr>
      <w:r>
        <w:rPr>
          <w:rFonts w:ascii="Calibri" w:hAnsi="Calibri"/>
          <w:b/>
          <w:color w:val="1E293B"/>
          <w:sz w:val="20"/>
        </w:rPr>
        <w:t xml:space="preserve">Automated Multi-Stakeholder CC Routing: </w:t>
      </w:r>
      <w:r>
        <w:rPr>
          <w:rFonts w:ascii="Calibri" w:hAnsi="Calibri"/>
          <w:color w:val="1E293B"/>
          <w:sz w:val="20"/>
        </w:rPr>
        <w:t>Configured hidden _cc parameter across all 66 HTML forms, routing lead data simultaneously to: Primary: adrian@saintmentalist.com, CC: Gowrish (gowrish@rightkey.net), CC: Boss/Sir (sganeshomg@gmail.com), CC: Mahabub (mahabubkabir36@gmail.com). Live delivery confirmed across desktop and mobile inboxes.</w:t>
      </w:r>
    </w:p>
    <w:p>
      <w:pPr>
        <w:pStyle w:val="ListBullet"/>
        <w:spacing w:before="40" w:after="60" w:line="276" w:lineRule="auto"/>
      </w:pPr>
      <w:r>
        <w:rPr>
          <w:rFonts w:ascii="Calibri" w:hAnsi="Calibri"/>
          <w:b/>
          <w:color w:val="1E293B"/>
          <w:sz w:val="20"/>
        </w:rPr>
        <w:t xml:space="preserve">Aggressive Mobile Cache-Busting (v56): </w:t>
      </w:r>
      <w:r>
        <w:rPr>
          <w:rFonts w:ascii="Calibri" w:hAnsi="Calibri"/>
          <w:color w:val="1E293B"/>
          <w:sz w:val="20"/>
        </w:rPr>
        <w:t>Updated all script import tags to js/app.js?v=20261028_v56 and bookingModal.js?v=20261028_v56 across all pages, ensuring mobile Safari and Chrome immediately load latest scripts without legacy cache conflicts.</w:t>
      </w:r>
    </w:p>
    <w:p>
      <w:pPr>
        <w:keepNext/>
        <w:spacing w:before="360" w:after="80"/>
      </w:pPr>
      <w:r>
        <w:rPr>
          <w:rFonts w:ascii="Georgia" w:hAnsi="Georgia"/>
          <w:b/>
          <w:color w:val="0A0B0E"/>
          <w:sz w:val="30"/>
        </w:rPr>
        <w:t>3. Technical SEO, Schema.org &amp; AI Search (GEO/AEO)</w:t>
      </w:r>
    </w:p>
    <w:p>
      <w:pPr>
        <w:pStyle w:val="ListBullet"/>
        <w:spacing w:before="40" w:after="60" w:line="276" w:lineRule="auto"/>
      </w:pPr>
      <w:r>
        <w:rPr>
          <w:rFonts w:ascii="Calibri" w:hAnsi="Calibri"/>
          <w:b/>
          <w:color w:val="1E293B"/>
          <w:sz w:val="20"/>
        </w:rPr>
        <w:t xml:space="preserve">Granular Schema.org JSON-LD (300+ Entities): </w:t>
      </w:r>
      <w:r>
        <w:rPr>
          <w:rFonts w:ascii="Calibri" w:hAnsi="Calibri"/>
          <w:color w:val="1E293B"/>
          <w:sz w:val="20"/>
        </w:rPr>
        <w:t>Deployed validated tripartite @graph structured data on all 50 newly created pages: EntertainmentBusiness/ProfessionalService, Person (Adrian Saint with complete sameAs citations), and localized FAQPage markup (5 unique FAQs per city).</w:t>
      </w:r>
    </w:p>
    <w:p>
      <w:pPr>
        <w:pStyle w:val="ListBullet"/>
        <w:spacing w:before="40" w:after="60" w:line="276" w:lineRule="auto"/>
      </w:pPr>
      <w:r>
        <w:rPr>
          <w:rFonts w:ascii="Calibri" w:hAnsi="Calibri"/>
          <w:b/>
          <w:color w:val="1E293B"/>
          <w:sz w:val="20"/>
        </w:rPr>
        <w:t xml:space="preserve">AI Engine Optimization (GEO/AEO): </w:t>
      </w:r>
      <w:r>
        <w:rPr>
          <w:rFonts w:ascii="Calibri" w:hAnsi="Calibri"/>
          <w:color w:val="1E293B"/>
          <w:sz w:val="20"/>
        </w:rPr>
        <w:t>Engineered content for generative search engines (Google Gemini, ChatGPT Search, Perplexity) with clear entity signals, drive-in/flight logistics radii, landmark convention venues, and 100% HR-safe corporate compliance declarations.</w:t>
      </w:r>
    </w:p>
    <w:p>
      <w:pPr>
        <w:pStyle w:val="ListBullet"/>
        <w:spacing w:before="40" w:after="60" w:line="276" w:lineRule="auto"/>
      </w:pPr>
      <w:r>
        <w:rPr>
          <w:rFonts w:ascii="Calibri" w:hAnsi="Calibri"/>
          <w:b/>
          <w:color w:val="1E293B"/>
          <w:sz w:val="20"/>
        </w:rPr>
        <w:t xml:space="preserve">XML Sitemap Re-Indexing (66 Production URLs): </w:t>
      </w:r>
      <w:r>
        <w:rPr>
          <w:rFonts w:ascii="Calibri" w:hAnsi="Calibri"/>
          <w:color w:val="1E293B"/>
          <w:sz w:val="20"/>
        </w:rPr>
        <w:t>Updated sitemap.xml with all 50 new locations, tiered crawl priorities (1.0 home, 0.9 core services/holiday, 0.85 regional hubs), and self-referencing canonical tags.</w:t>
      </w:r>
    </w:p>
    <w:p>
      <w:pPr>
        <w:pStyle w:val="ListBullet"/>
        <w:spacing w:before="40" w:after="60" w:line="276" w:lineRule="auto"/>
      </w:pPr>
      <w:r>
        <w:rPr>
          <w:rFonts w:ascii="Calibri" w:hAnsi="Calibri"/>
          <w:b/>
          <w:color w:val="1E293B"/>
          <w:sz w:val="20"/>
        </w:rPr>
        <w:t xml:space="preserve">URL Architecture &amp; 253 301-Redirect Rules: </w:t>
      </w:r>
      <w:r>
        <w:rPr>
          <w:rFonts w:ascii="Calibri" w:hAnsi="Calibri"/>
          <w:color w:val="1E293B"/>
          <w:sz w:val="20"/>
        </w:rPr>
        <w:t>Configured 253 permanent redirect rules in vercel.json covering shorthand aliases (/[city], /corporate-mentalist-[city]) and common typo variants.</w:t>
      </w:r>
    </w:p>
    <w:p>
      <w:pPr>
        <w:pStyle w:val="ListBullet"/>
        <w:spacing w:before="40" w:after="60" w:line="276" w:lineRule="auto"/>
      </w:pPr>
      <w:r>
        <w:rPr>
          <w:rFonts w:ascii="Calibri" w:hAnsi="Calibri"/>
          <w:b/>
          <w:color w:val="1E293B"/>
          <w:sz w:val="20"/>
        </w:rPr>
        <w:t xml:space="preserve">Google Search Console Verification: </w:t>
      </w:r>
      <w:r>
        <w:rPr>
          <w:rFonts w:ascii="Calibri" w:hAnsi="Calibri"/>
          <w:color w:val="1E293B"/>
          <w:sz w:val="20"/>
        </w:rPr>
        <w:t>Implemented sitewide search console verification meta tag for real-time indexing telemetries and performance tracking.</w:t>
      </w:r>
    </w:p>
    <w:p>
      <w:pPr>
        <w:keepNext/>
        <w:spacing w:before="360" w:after="80"/>
      </w:pPr>
      <w:r>
        <w:rPr>
          <w:rFonts w:ascii="Georgia" w:hAnsi="Georgia"/>
          <w:b/>
          <w:color w:val="0A0B0E"/>
          <w:sz w:val="30"/>
        </w:rPr>
        <w:t>4. Media Self-Hosting &amp; Asset Integrity</w:t>
      </w:r>
    </w:p>
    <w:p>
      <w:pPr>
        <w:pStyle w:val="ListBullet"/>
        <w:spacing w:before="40" w:after="60" w:line="276" w:lineRule="auto"/>
      </w:pPr>
      <w:r>
        <w:rPr>
          <w:rFonts w:ascii="Calibri" w:hAnsi="Calibri"/>
          <w:b/>
          <w:color w:val="1E293B"/>
          <w:sz w:val="20"/>
        </w:rPr>
        <w:t xml:space="preserve">Self-Hosted Event Gallery (35 Assets): </w:t>
      </w:r>
      <w:r>
        <w:rPr>
          <w:rFonts w:ascii="Calibri" w:hAnsi="Calibri"/>
          <w:color w:val="1E293B"/>
          <w:sz w:val="20"/>
        </w:rPr>
        <w:t>Downloaded and migrated all 35 external photo gallery assets into images/gallery/ across all production pages, eliminating external CDN dependencies, CORS errors, and broken image icons.</w:t>
      </w:r>
    </w:p>
    <w:p>
      <w:pPr>
        <w:pStyle w:val="ListBullet"/>
        <w:spacing w:before="40" w:after="60" w:line="276" w:lineRule="auto"/>
      </w:pPr>
      <w:r>
        <w:rPr>
          <w:rFonts w:ascii="Calibri" w:hAnsi="Calibri"/>
          <w:b/>
          <w:color w:val="1E293B"/>
          <w:sz w:val="20"/>
        </w:rPr>
        <w:t xml:space="preserve">Photo Framing &amp; Headroom Precision: </w:t>
      </w:r>
      <w:r>
        <w:rPr>
          <w:rFonts w:ascii="Calibri" w:hAnsi="Calibri"/>
          <w:color w:val="1E293B"/>
          <w:sz w:val="20"/>
        </w:rPr>
        <w:t>Refined photo presentation on contact.html (Athletes First apron photo) with precise object-position: center top and natural headroom framing.</w:t>
      </w:r>
    </w:p>
    <w:p>
      <w:pPr>
        <w:pStyle w:val="ListBullet"/>
        <w:spacing w:before="40" w:after="60" w:line="276" w:lineRule="auto"/>
      </w:pPr>
      <w:r>
        <w:rPr>
          <w:rFonts w:ascii="Calibri" w:hAnsi="Calibri"/>
          <w:b/>
          <w:color w:val="1E293B"/>
          <w:sz w:val="20"/>
        </w:rPr>
        <w:t xml:space="preserve">High-Authority Client Emblem Updates: </w:t>
      </w:r>
      <w:r>
        <w:rPr>
          <w:rFonts w:ascii="Calibri" w:hAnsi="Calibri"/>
          <w:color w:val="1E293B"/>
          <w:sz w:val="20"/>
        </w:rPr>
        <w:t>Updated partner and institution logos including Pasadena Tournament of Roses, UC San Diego Jacobs School of Engineering, USC, and UC Davis.</w:t>
      </w:r>
    </w:p>
    <w:p>
      <w:pPr>
        <w:keepNext/>
        <w:spacing w:before="360" w:after="80"/>
      </w:pPr>
      <w:r>
        <w:rPr>
          <w:rFonts w:ascii="Georgia" w:hAnsi="Georgia"/>
          <w:b/>
          <w:color w:val="0A0B0E"/>
          <w:sz w:val="30"/>
        </w:rPr>
        <w:t>5. Summary of Deliverables &amp; Monthly Milestones</w:t>
      </w:r>
    </w:p>
    <w:tbl>
      <w:tblPr>
        <w:tblW w:type="auto" w:w="0"/>
        <w:jc w:val="center"/>
        <w:tblLayout w:type="fixed"/>
        <w:tblLook w:firstColumn="1" w:firstRow="1" w:lastColumn="0" w:lastRow="0" w:noHBand="0" w:noVBand="1" w:val="04A0"/>
        <w:tblBorders>
          <w:top w:val="single" w:sz="4" w:space="0" w:color="E2E8F0"/>
          <w:bottom w:val="single" w:sz="4" w:space="0" w:color="E2E8F0"/>
          <w:insideH w:val="single" w:sz="4" w:space="0" w:color="E2E8F0"/>
          <w:insideV w:val="none"/>
          <w:left w:val="none"/>
          <w:right w:val="none"/>
        </w:tblBorders>
      </w:tblPr>
      <w:tblGrid>
        <w:gridCol w:w="3120"/>
        <w:gridCol w:w="3120"/>
        <w:gridCol w:w="3120"/>
      </w:tblGrid>
      <w:tr>
        <w:tc>
          <w:tcPr>
            <w:tcW w:type="dxa" w:w="3168"/>
            <w:shd w:fill="12141A"/>
            <w:tcMar>
              <w:top w:w="100" w:type="dxa"/>
              <w:bottom w:w="100" w:type="dxa"/>
              <w:left w:w="120" w:type="dxa"/>
              <w:right w:w="120" w:type="dxa"/>
            </w:tcMar>
          </w:tcPr>
          <w:p>
            <w:pPr>
              <w:spacing w:before="0" w:after="0"/>
            </w:pPr>
            <w:r>
              <w:rPr>
                <w:rFonts w:ascii="Georgia" w:hAnsi="Georgia"/>
                <w:b/>
                <w:color w:val="FFFFFF"/>
                <w:sz w:val="17"/>
              </w:rPr>
              <w:t>DELIVERABLE CATEGORY</w:t>
            </w:r>
          </w:p>
        </w:tc>
        <w:tc>
          <w:tcPr>
            <w:tcW w:type="dxa" w:w="3888"/>
            <w:shd w:fill="12141A"/>
            <w:tcMar>
              <w:top w:w="100" w:type="dxa"/>
              <w:bottom w:w="100" w:type="dxa"/>
              <w:left w:w="120" w:type="dxa"/>
              <w:right w:w="120" w:type="dxa"/>
            </w:tcMar>
          </w:tcPr>
          <w:p>
            <w:pPr>
              <w:spacing w:before="0" w:after="0"/>
            </w:pPr>
            <w:r>
              <w:rPr>
                <w:rFonts w:ascii="Georgia" w:hAnsi="Georgia"/>
                <w:b/>
                <w:color w:val="FFFFFF"/>
                <w:sz w:val="17"/>
              </w:rPr>
              <w:t>OCTOBER 2026 METRIC</w:t>
            </w:r>
          </w:p>
        </w:tc>
        <w:tc>
          <w:tcPr>
            <w:tcW w:type="dxa" w:w="2304"/>
            <w:shd w:fill="12141A"/>
            <w:tcMar>
              <w:top w:w="100" w:type="dxa"/>
              <w:bottom w:w="100" w:type="dxa"/>
              <w:left w:w="120" w:type="dxa"/>
              <w:right w:w="120" w:type="dxa"/>
            </w:tcMar>
          </w:tcPr>
          <w:p>
            <w:pPr>
              <w:spacing w:before="0" w:after="0"/>
            </w:pPr>
            <w:r>
              <w:rPr>
                <w:rFonts w:ascii="Georgia" w:hAnsi="Georgia"/>
                <w:b/>
                <w:color w:val="FFFFFF"/>
                <w:sz w:val="17"/>
              </w:rPr>
              <w:t>PRODUCTION STATUS</w:t>
            </w:r>
          </w:p>
        </w:tc>
      </w:tr>
      <w:tr>
        <w:tc>
          <w:tcPr>
            <w:tcW w:type="dxa" w:w="3168"/>
            <w:shd w:fill="F8FAFC"/>
            <w:tcMar>
              <w:top w:w="80" w:type="dxa"/>
              <w:bottom w:w="80" w:type="dxa"/>
              <w:left w:w="120" w:type="dxa"/>
              <w:right w:w="120" w:type="dxa"/>
            </w:tcMar>
          </w:tcPr>
          <w:p>
            <w:pPr>
              <w:spacing w:before="0" w:after="0"/>
            </w:pPr>
            <w:r>
              <w:rPr>
                <w:rFonts w:ascii="Calibri" w:hAnsi="Calibri"/>
                <w:b/>
                <w:color w:val="1E293B"/>
                <w:sz w:val="18"/>
              </w:rPr>
              <w:t>Total Live Production Pages</w:t>
            </w:r>
          </w:p>
        </w:tc>
        <w:tc>
          <w:tcPr>
            <w:tcW w:type="dxa" w:w="3888"/>
            <w:shd w:fill="F8FAFC"/>
            <w:tcMar>
              <w:top w:w="80" w:type="dxa"/>
              <w:bottom w:w="80" w:type="dxa"/>
              <w:left w:w="120" w:type="dxa"/>
              <w:right w:w="120" w:type="dxa"/>
            </w:tcMar>
          </w:tcPr>
          <w:p>
            <w:pPr>
              <w:spacing w:before="0" w:after="0"/>
            </w:pPr>
            <w:r>
              <w:rPr>
                <w:rFonts w:ascii="Calibri" w:hAnsi="Calibri"/>
                <w:color w:val="64748B"/>
                <w:sz w:val="18"/>
              </w:rPr>
              <w:t>67 Pages (Scaled from 26 in Sept)</w:t>
            </w:r>
          </w:p>
        </w:tc>
        <w:tc>
          <w:tcPr>
            <w:tcW w:type="dxa" w:w="2304"/>
            <w:shd w:fill="F8FAFC"/>
            <w:tcMar>
              <w:top w:w="80" w:type="dxa"/>
              <w:bottom w:w="80" w:type="dxa"/>
              <w:left w:w="120" w:type="dxa"/>
              <w:right w:w="120" w:type="dxa"/>
            </w:tcMar>
          </w:tcPr>
          <w:p>
            <w:pPr>
              <w:spacing w:before="0" w:after="0"/>
            </w:pPr>
            <w:r>
              <w:rPr>
                <w:rFonts w:ascii="Calibri" w:hAnsi="Calibri"/>
                <w:b/>
                <w:color w:val="166534"/>
                <w:sz w:val="18"/>
              </w:rPr>
              <w:t>Live on Production</w:t>
            </w:r>
          </w:p>
        </w:tc>
      </w:tr>
      <w:tr>
        <w:tc>
          <w:tcPr>
            <w:tcW w:type="dxa" w:w="3168"/>
            <w:shd w:fill="FFFFFF"/>
            <w:tcMar>
              <w:top w:w="80" w:type="dxa"/>
              <w:bottom w:w="80" w:type="dxa"/>
              <w:left w:w="120" w:type="dxa"/>
              <w:right w:w="120" w:type="dxa"/>
            </w:tcMar>
          </w:tcPr>
          <w:p>
            <w:pPr>
              <w:spacing w:before="0" w:after="0"/>
            </w:pPr>
            <w:r>
              <w:rPr>
                <w:rFonts w:ascii="Calibri" w:hAnsi="Calibri"/>
                <w:b/>
                <w:color w:val="1E293B"/>
                <w:sz w:val="18"/>
              </w:rPr>
              <w:t>New Pages Built in October</w:t>
            </w:r>
          </w:p>
        </w:tc>
        <w:tc>
          <w:tcPr>
            <w:tcW w:type="dxa" w:w="3888"/>
            <w:shd w:fill="FFFFFF"/>
            <w:tcMar>
              <w:top w:w="80" w:type="dxa"/>
              <w:bottom w:w="80" w:type="dxa"/>
              <w:left w:w="120" w:type="dxa"/>
              <w:right w:w="120" w:type="dxa"/>
            </w:tcMar>
          </w:tcPr>
          <w:p>
            <w:pPr>
              <w:spacing w:before="0" w:after="0"/>
            </w:pPr>
            <w:r>
              <w:rPr>
                <w:rFonts w:ascii="Calibri" w:hAnsi="Calibri"/>
                <w:color w:val="64748B"/>
                <w:sz w:val="18"/>
              </w:rPr>
              <w:t>51 Pages (50 Location Hubs + 1 Holiday)</w:t>
            </w:r>
          </w:p>
        </w:tc>
        <w:tc>
          <w:tcPr>
            <w:tcW w:type="dxa" w:w="2304"/>
            <w:shd w:fill="FFFFFF"/>
            <w:tcMar>
              <w:top w:w="80" w:type="dxa"/>
              <w:bottom w:w="80" w:type="dxa"/>
              <w:left w:w="120" w:type="dxa"/>
              <w:right w:w="120" w:type="dxa"/>
            </w:tcMar>
          </w:tcPr>
          <w:p>
            <w:pPr>
              <w:spacing w:before="0" w:after="0"/>
            </w:pPr>
            <w:r>
              <w:rPr>
                <w:rFonts w:ascii="Calibri" w:hAnsi="Calibri"/>
                <w:b/>
                <w:color w:val="166534"/>
                <w:sz w:val="18"/>
              </w:rPr>
              <w:t>100% Deployed &amp; Live</w:t>
            </w:r>
          </w:p>
        </w:tc>
      </w:tr>
      <w:tr>
        <w:tc>
          <w:tcPr>
            <w:tcW w:type="dxa" w:w="3168"/>
            <w:shd w:fill="F8FAFC"/>
            <w:tcMar>
              <w:top w:w="80" w:type="dxa"/>
              <w:bottom w:w="80" w:type="dxa"/>
              <w:left w:w="120" w:type="dxa"/>
              <w:right w:w="120" w:type="dxa"/>
            </w:tcMar>
          </w:tcPr>
          <w:p>
            <w:pPr>
              <w:spacing w:before="0" w:after="0"/>
            </w:pPr>
            <w:r>
              <w:rPr>
                <w:rFonts w:ascii="Calibri" w:hAnsi="Calibri"/>
                <w:b/>
                <w:color w:val="1E293B"/>
                <w:sz w:val="18"/>
              </w:rPr>
              <w:t>Total Live Regional Market Hubs</w:t>
            </w:r>
          </w:p>
        </w:tc>
        <w:tc>
          <w:tcPr>
            <w:tcW w:type="dxa" w:w="3888"/>
            <w:shd w:fill="F8FAFC"/>
            <w:tcMar>
              <w:top w:w="80" w:type="dxa"/>
              <w:bottom w:w="80" w:type="dxa"/>
              <w:left w:w="120" w:type="dxa"/>
              <w:right w:w="120" w:type="dxa"/>
            </w:tcMar>
          </w:tcPr>
          <w:p>
            <w:pPr>
              <w:spacing w:before="0" w:after="0"/>
            </w:pPr>
            <w:r>
              <w:rPr>
                <w:rFonts w:ascii="Calibri" w:hAnsi="Calibri"/>
                <w:color w:val="64748B"/>
                <w:sz w:val="18"/>
              </w:rPr>
              <w:t>60 Regional Convention Hubs</w:t>
            </w:r>
          </w:p>
        </w:tc>
        <w:tc>
          <w:tcPr>
            <w:tcW w:type="dxa" w:w="2304"/>
            <w:shd w:fill="F8FAFC"/>
            <w:tcMar>
              <w:top w:w="80" w:type="dxa"/>
              <w:bottom w:w="80" w:type="dxa"/>
              <w:left w:w="120" w:type="dxa"/>
              <w:right w:w="120" w:type="dxa"/>
            </w:tcMar>
          </w:tcPr>
          <w:p>
            <w:pPr>
              <w:spacing w:before="0" w:after="0"/>
            </w:pPr>
            <w:r>
              <w:rPr>
                <w:rFonts w:ascii="Calibri" w:hAnsi="Calibri"/>
                <w:b/>
                <w:color w:val="166534"/>
                <w:sz w:val="18"/>
              </w:rPr>
              <w:t>Live on Production</w:t>
            </w:r>
          </w:p>
        </w:tc>
      </w:tr>
      <w:tr>
        <w:tc>
          <w:tcPr>
            <w:tcW w:type="dxa" w:w="3168"/>
            <w:shd w:fill="FFFFFF"/>
            <w:tcMar>
              <w:top w:w="80" w:type="dxa"/>
              <w:bottom w:w="80" w:type="dxa"/>
              <w:left w:w="120" w:type="dxa"/>
              <w:right w:w="120" w:type="dxa"/>
            </w:tcMar>
          </w:tcPr>
          <w:p>
            <w:pPr>
              <w:spacing w:before="0" w:after="0"/>
            </w:pPr>
            <w:r>
              <w:rPr>
                <w:rFonts w:ascii="Calibri" w:hAnsi="Calibri"/>
                <w:b/>
                <w:color w:val="1E293B"/>
                <w:sz w:val="18"/>
              </w:rPr>
              <w:t>Core Service &amp; Campaign Pages</w:t>
            </w:r>
          </w:p>
        </w:tc>
        <w:tc>
          <w:tcPr>
            <w:tcW w:type="dxa" w:w="3888"/>
            <w:shd w:fill="FFFFFF"/>
            <w:tcMar>
              <w:top w:w="80" w:type="dxa"/>
              <w:bottom w:w="80" w:type="dxa"/>
              <w:left w:w="120" w:type="dxa"/>
              <w:right w:w="120" w:type="dxa"/>
            </w:tcMar>
          </w:tcPr>
          <w:p>
            <w:pPr>
              <w:spacing w:before="0" w:after="0"/>
            </w:pPr>
            <w:r>
              <w:rPr>
                <w:rFonts w:ascii="Calibri" w:hAnsi="Calibri"/>
                <w:color w:val="64748B"/>
                <w:sz w:val="18"/>
              </w:rPr>
              <w:t>4 Dedicated Offerings (Stage, Strolling, Team, Holiday)</w:t>
            </w:r>
          </w:p>
        </w:tc>
        <w:tc>
          <w:tcPr>
            <w:tcW w:type="dxa" w:w="2304"/>
            <w:shd w:fill="FFFFFF"/>
            <w:tcMar>
              <w:top w:w="80" w:type="dxa"/>
              <w:bottom w:w="80" w:type="dxa"/>
              <w:left w:w="120" w:type="dxa"/>
              <w:right w:w="120" w:type="dxa"/>
            </w:tcMar>
          </w:tcPr>
          <w:p>
            <w:pPr>
              <w:spacing w:before="0" w:after="0"/>
            </w:pPr>
            <w:r>
              <w:rPr>
                <w:rFonts w:ascii="Calibri" w:hAnsi="Calibri"/>
                <w:b/>
                <w:color w:val="166534"/>
                <w:sz w:val="18"/>
              </w:rPr>
              <w:t>Live on Production</w:t>
            </w:r>
          </w:p>
        </w:tc>
      </w:tr>
      <w:tr>
        <w:tc>
          <w:tcPr>
            <w:tcW w:type="dxa" w:w="3168"/>
            <w:shd w:fill="F8FAFC"/>
            <w:tcMar>
              <w:top w:w="80" w:type="dxa"/>
              <w:bottom w:w="80" w:type="dxa"/>
              <w:left w:w="120" w:type="dxa"/>
              <w:right w:w="120" w:type="dxa"/>
            </w:tcMar>
          </w:tcPr>
          <w:p>
            <w:pPr>
              <w:spacing w:before="0" w:after="0"/>
            </w:pPr>
            <w:r>
              <w:rPr>
                <w:rFonts w:ascii="Calibri" w:hAnsi="Calibri"/>
                <w:b/>
                <w:color w:val="1E293B"/>
                <w:sz w:val="18"/>
              </w:rPr>
              <w:t>Clean XML Sitemap URLs</w:t>
            </w:r>
          </w:p>
        </w:tc>
        <w:tc>
          <w:tcPr>
            <w:tcW w:type="dxa" w:w="3888"/>
            <w:shd w:fill="F8FAFC"/>
            <w:tcMar>
              <w:top w:w="80" w:type="dxa"/>
              <w:bottom w:w="80" w:type="dxa"/>
              <w:left w:w="120" w:type="dxa"/>
              <w:right w:w="120" w:type="dxa"/>
            </w:tcMar>
          </w:tcPr>
          <w:p>
            <w:pPr>
              <w:spacing w:before="0" w:after="0"/>
            </w:pPr>
            <w:r>
              <w:rPr>
                <w:rFonts w:ascii="Calibri" w:hAnsi="Calibri"/>
                <w:color w:val="64748B"/>
                <w:sz w:val="18"/>
              </w:rPr>
              <w:t>66 Unique Production URLs</w:t>
            </w:r>
          </w:p>
        </w:tc>
        <w:tc>
          <w:tcPr>
            <w:tcW w:type="dxa" w:w="2304"/>
            <w:shd w:fill="F8FAFC"/>
            <w:tcMar>
              <w:top w:w="80" w:type="dxa"/>
              <w:bottom w:w="80" w:type="dxa"/>
              <w:left w:w="120" w:type="dxa"/>
              <w:right w:w="120" w:type="dxa"/>
            </w:tcMar>
          </w:tcPr>
          <w:p>
            <w:pPr>
              <w:spacing w:before="0" w:after="0"/>
            </w:pPr>
            <w:r>
              <w:rPr>
                <w:rFonts w:ascii="Calibri" w:hAnsi="Calibri"/>
                <w:b/>
                <w:color w:val="166534"/>
                <w:sz w:val="18"/>
              </w:rPr>
              <w:t>Indexed in sitemap.xml</w:t>
            </w:r>
          </w:p>
        </w:tc>
      </w:tr>
      <w:tr>
        <w:tc>
          <w:tcPr>
            <w:tcW w:type="dxa" w:w="3168"/>
            <w:shd w:fill="FFFFFF"/>
            <w:tcMar>
              <w:top w:w="80" w:type="dxa"/>
              <w:bottom w:w="80" w:type="dxa"/>
              <w:left w:w="120" w:type="dxa"/>
              <w:right w:w="120" w:type="dxa"/>
            </w:tcMar>
          </w:tcPr>
          <w:p>
            <w:pPr>
              <w:spacing w:before="0" w:after="0"/>
            </w:pPr>
            <w:r>
              <w:rPr>
                <w:rFonts w:ascii="Calibri" w:hAnsi="Calibri"/>
                <w:b/>
                <w:color w:val="1E293B"/>
                <w:sz w:val="18"/>
              </w:rPr>
              <w:t>Permanent 301 Redirect Rules</w:t>
            </w:r>
          </w:p>
        </w:tc>
        <w:tc>
          <w:tcPr>
            <w:tcW w:type="dxa" w:w="3888"/>
            <w:shd w:fill="FFFFFF"/>
            <w:tcMar>
              <w:top w:w="80" w:type="dxa"/>
              <w:bottom w:w="80" w:type="dxa"/>
              <w:left w:w="120" w:type="dxa"/>
              <w:right w:w="120" w:type="dxa"/>
            </w:tcMar>
          </w:tcPr>
          <w:p>
            <w:pPr>
              <w:spacing w:before="0" w:after="0"/>
            </w:pPr>
            <w:r>
              <w:rPr>
                <w:rFonts w:ascii="Calibri" w:hAnsi="Calibri"/>
                <w:color w:val="64748B"/>
                <w:sz w:val="18"/>
              </w:rPr>
              <w:t>253 Rules (Scaled from 50+ in Sept)</w:t>
            </w:r>
          </w:p>
        </w:tc>
        <w:tc>
          <w:tcPr>
            <w:tcW w:type="dxa" w:w="2304"/>
            <w:shd w:fill="FFFFFF"/>
            <w:tcMar>
              <w:top w:w="80" w:type="dxa"/>
              <w:bottom w:w="80" w:type="dxa"/>
              <w:left w:w="120" w:type="dxa"/>
              <w:right w:w="120" w:type="dxa"/>
            </w:tcMar>
          </w:tcPr>
          <w:p>
            <w:pPr>
              <w:spacing w:before="0" w:after="0"/>
            </w:pPr>
            <w:r>
              <w:rPr>
                <w:rFonts w:ascii="Calibri" w:hAnsi="Calibri"/>
                <w:b/>
                <w:color w:val="166534"/>
                <w:sz w:val="18"/>
              </w:rPr>
              <w:t>Configured in vercel.json</w:t>
            </w:r>
          </w:p>
        </w:tc>
      </w:tr>
      <w:tr>
        <w:tc>
          <w:tcPr>
            <w:tcW w:type="dxa" w:w="3168"/>
            <w:shd w:fill="F8FAFC"/>
            <w:tcMar>
              <w:top w:w="80" w:type="dxa"/>
              <w:bottom w:w="80" w:type="dxa"/>
              <w:left w:w="120" w:type="dxa"/>
              <w:right w:w="120" w:type="dxa"/>
            </w:tcMar>
          </w:tcPr>
          <w:p>
            <w:pPr>
              <w:spacing w:before="0" w:after="0"/>
            </w:pPr>
            <w:r>
              <w:rPr>
                <w:rFonts w:ascii="Calibri" w:hAnsi="Calibri"/>
                <w:b/>
                <w:color w:val="1E293B"/>
                <w:sz w:val="18"/>
              </w:rPr>
              <w:t>Schema.org JSON-LD FAQ Entities</w:t>
            </w:r>
          </w:p>
        </w:tc>
        <w:tc>
          <w:tcPr>
            <w:tcW w:type="dxa" w:w="3888"/>
            <w:shd w:fill="F8FAFC"/>
            <w:tcMar>
              <w:top w:w="80" w:type="dxa"/>
              <w:bottom w:w="80" w:type="dxa"/>
              <w:left w:w="120" w:type="dxa"/>
              <w:right w:w="120" w:type="dxa"/>
            </w:tcMar>
          </w:tcPr>
          <w:p>
            <w:pPr>
              <w:spacing w:before="0" w:after="0"/>
            </w:pPr>
            <w:r>
              <w:rPr>
                <w:rFonts w:ascii="Calibri" w:hAnsi="Calibri"/>
                <w:color w:val="64748B"/>
                <w:sz w:val="18"/>
              </w:rPr>
              <w:t>300+ Bespoke Regional FAQ Schemas</w:t>
            </w:r>
          </w:p>
        </w:tc>
        <w:tc>
          <w:tcPr>
            <w:tcW w:type="dxa" w:w="2304"/>
            <w:shd w:fill="F8FAFC"/>
            <w:tcMar>
              <w:top w:w="80" w:type="dxa"/>
              <w:bottom w:w="80" w:type="dxa"/>
              <w:left w:w="120" w:type="dxa"/>
              <w:right w:w="120" w:type="dxa"/>
            </w:tcMar>
          </w:tcPr>
          <w:p>
            <w:pPr>
              <w:spacing w:before="0" w:after="0"/>
            </w:pPr>
            <w:r>
              <w:rPr>
                <w:rFonts w:ascii="Calibri" w:hAnsi="Calibri"/>
                <w:b/>
                <w:color w:val="166534"/>
                <w:sz w:val="18"/>
              </w:rPr>
              <w:t>Live across all 60 Hubs</w:t>
            </w:r>
          </w:p>
        </w:tc>
      </w:tr>
      <w:tr>
        <w:tc>
          <w:tcPr>
            <w:tcW w:type="dxa" w:w="3168"/>
            <w:shd w:fill="FFFFFF"/>
            <w:tcMar>
              <w:top w:w="80" w:type="dxa"/>
              <w:bottom w:w="80" w:type="dxa"/>
              <w:left w:w="120" w:type="dxa"/>
              <w:right w:w="120" w:type="dxa"/>
            </w:tcMar>
          </w:tcPr>
          <w:p>
            <w:pPr>
              <w:spacing w:before="0" w:after="0"/>
            </w:pPr>
            <w:r>
              <w:rPr>
                <w:rFonts w:ascii="Calibri" w:hAnsi="Calibri"/>
                <w:b/>
                <w:color w:val="1E293B"/>
                <w:sz w:val="18"/>
              </w:rPr>
              <w:t>Automated Lead CC Routing</w:t>
            </w:r>
          </w:p>
        </w:tc>
        <w:tc>
          <w:tcPr>
            <w:tcW w:type="dxa" w:w="3888"/>
            <w:shd w:fill="FFFFFF"/>
            <w:tcMar>
              <w:top w:w="80" w:type="dxa"/>
              <w:bottom w:w="80" w:type="dxa"/>
              <w:left w:w="120" w:type="dxa"/>
              <w:right w:w="120" w:type="dxa"/>
            </w:tcMar>
          </w:tcPr>
          <w:p>
            <w:pPr>
              <w:spacing w:before="0" w:after="0"/>
            </w:pPr>
            <w:r>
              <w:rPr>
                <w:rFonts w:ascii="Calibri" w:hAnsi="Calibri"/>
                <w:color w:val="64748B"/>
                <w:sz w:val="18"/>
              </w:rPr>
              <w:t>3 Executive CCs (Gowrish, Sir, Mahabub)</w:t>
            </w:r>
          </w:p>
        </w:tc>
        <w:tc>
          <w:tcPr>
            <w:tcW w:type="dxa" w:w="2304"/>
            <w:shd w:fill="FFFFFF"/>
            <w:tcMar>
              <w:top w:w="80" w:type="dxa"/>
              <w:bottom w:w="80" w:type="dxa"/>
              <w:left w:w="120" w:type="dxa"/>
              <w:right w:w="120" w:type="dxa"/>
            </w:tcMar>
          </w:tcPr>
          <w:p>
            <w:pPr>
              <w:spacing w:before="0" w:after="0"/>
            </w:pPr>
            <w:r>
              <w:rPr>
                <w:rFonts w:ascii="Calibri" w:hAnsi="Calibri"/>
                <w:b/>
                <w:color w:val="166534"/>
                <w:sz w:val="18"/>
              </w:rPr>
              <w:t>Active on all 66 Forms</w:t>
            </w:r>
          </w:p>
        </w:tc>
      </w:tr>
      <w:tr>
        <w:tc>
          <w:tcPr>
            <w:tcW w:type="dxa" w:w="3168"/>
            <w:shd w:fill="F8FAFC"/>
            <w:tcMar>
              <w:top w:w="80" w:type="dxa"/>
              <w:bottom w:w="80" w:type="dxa"/>
              <w:left w:w="120" w:type="dxa"/>
              <w:right w:w="120" w:type="dxa"/>
            </w:tcMar>
          </w:tcPr>
          <w:p>
            <w:pPr>
              <w:spacing w:before="0" w:after="0"/>
            </w:pPr>
            <w:r>
              <w:rPr>
                <w:rFonts w:ascii="Calibri" w:hAnsi="Calibri"/>
                <w:b/>
                <w:color w:val="1E293B"/>
                <w:sz w:val="18"/>
              </w:rPr>
              <w:t>Lead Protection Architecture</w:t>
            </w:r>
          </w:p>
        </w:tc>
        <w:tc>
          <w:tcPr>
            <w:tcW w:type="dxa" w:w="3888"/>
            <w:shd w:fill="F8FAFC"/>
            <w:tcMar>
              <w:top w:w="80" w:type="dxa"/>
              <w:bottom w:w="80" w:type="dxa"/>
              <w:left w:w="120" w:type="dxa"/>
              <w:right w:w="120" w:type="dxa"/>
            </w:tcMar>
          </w:tcPr>
          <w:p>
            <w:pPr>
              <w:spacing w:before="0" w:after="0"/>
            </w:pPr>
            <w:r>
              <w:rPr>
                <w:rFonts w:ascii="Calibri" w:hAnsi="Calibri"/>
                <w:color w:val="64748B"/>
                <w:sz w:val="18"/>
              </w:rPr>
              <w:t>5s Mobile Timeout + LocalStorage Backup</w:t>
            </w:r>
          </w:p>
        </w:tc>
        <w:tc>
          <w:tcPr>
            <w:tcW w:type="dxa" w:w="2304"/>
            <w:shd w:fill="F8FAFC"/>
            <w:tcMar>
              <w:top w:w="80" w:type="dxa"/>
              <w:bottom w:w="80" w:type="dxa"/>
              <w:left w:w="120" w:type="dxa"/>
              <w:right w:w="120" w:type="dxa"/>
            </w:tcMar>
          </w:tcPr>
          <w:p>
            <w:pPr>
              <w:spacing w:before="0" w:after="0"/>
            </w:pPr>
            <w:r>
              <w:rPr>
                <w:rFonts w:ascii="Calibri" w:hAnsi="Calibri"/>
                <w:b/>
                <w:color w:val="166534"/>
                <w:sz w:val="18"/>
              </w:rPr>
              <w:t>Engineered sitewide</w:t>
            </w:r>
          </w:p>
        </w:tc>
      </w:tr>
      <w:tr>
        <w:tc>
          <w:tcPr>
            <w:tcW w:type="dxa" w:w="3168"/>
            <w:shd w:fill="FFFFFF"/>
            <w:tcMar>
              <w:top w:w="80" w:type="dxa"/>
              <w:bottom w:w="80" w:type="dxa"/>
              <w:left w:w="120" w:type="dxa"/>
              <w:right w:w="120" w:type="dxa"/>
            </w:tcMar>
          </w:tcPr>
          <w:p>
            <w:pPr>
              <w:spacing w:before="0" w:after="0"/>
            </w:pPr>
            <w:r>
              <w:rPr>
                <w:rFonts w:ascii="Calibri" w:hAnsi="Calibri"/>
                <w:b/>
                <w:color w:val="1E293B"/>
                <w:sz w:val="18"/>
              </w:rPr>
              <w:t>Locally Self-Hosted Gallery Assets</w:t>
            </w:r>
          </w:p>
        </w:tc>
        <w:tc>
          <w:tcPr>
            <w:tcW w:type="dxa" w:w="3888"/>
            <w:shd w:fill="FFFFFF"/>
            <w:tcMar>
              <w:top w:w="80" w:type="dxa"/>
              <w:bottom w:w="80" w:type="dxa"/>
              <w:left w:w="120" w:type="dxa"/>
              <w:right w:w="120" w:type="dxa"/>
            </w:tcMar>
          </w:tcPr>
          <w:p>
            <w:pPr>
              <w:spacing w:before="0" w:after="0"/>
            </w:pPr>
            <w:r>
              <w:rPr>
                <w:rFonts w:ascii="Calibri" w:hAnsi="Calibri"/>
                <w:color w:val="64748B"/>
                <w:sz w:val="18"/>
              </w:rPr>
              <w:t>35 Performance Photos in images/gallery/</w:t>
            </w:r>
          </w:p>
        </w:tc>
        <w:tc>
          <w:tcPr>
            <w:tcW w:type="dxa" w:w="2304"/>
            <w:shd w:fill="FFFFFF"/>
            <w:tcMar>
              <w:top w:w="80" w:type="dxa"/>
              <w:bottom w:w="80" w:type="dxa"/>
              <w:left w:w="120" w:type="dxa"/>
              <w:right w:w="120" w:type="dxa"/>
            </w:tcMar>
          </w:tcPr>
          <w:p>
            <w:pPr>
              <w:spacing w:before="0" w:after="0"/>
            </w:pPr>
            <w:r>
              <w:rPr>
                <w:rFonts w:ascii="Calibri" w:hAnsi="Calibri"/>
                <w:b/>
                <w:color w:val="166534"/>
                <w:sz w:val="18"/>
              </w:rPr>
              <w:t>100% Local Self-Hosted</w:t>
            </w:r>
          </w:p>
        </w:tc>
      </w:tr>
      <w:tr>
        <w:tc>
          <w:tcPr>
            <w:tcW w:type="dxa" w:w="3168"/>
            <w:shd w:fill="F8FAFC"/>
            <w:tcMar>
              <w:top w:w="80" w:type="dxa"/>
              <w:bottom w:w="80" w:type="dxa"/>
              <w:left w:w="120" w:type="dxa"/>
              <w:right w:w="120" w:type="dxa"/>
            </w:tcMar>
          </w:tcPr>
          <w:p>
            <w:pPr>
              <w:spacing w:before="0" w:after="0"/>
            </w:pPr>
            <w:r>
              <w:rPr>
                <w:rFonts w:ascii="Calibri" w:hAnsi="Calibri"/>
                <w:b/>
                <w:color w:val="1E293B"/>
                <w:sz w:val="18"/>
              </w:rPr>
              <w:t>Verified Enterprise Client Logos</w:t>
            </w:r>
          </w:p>
        </w:tc>
        <w:tc>
          <w:tcPr>
            <w:tcW w:type="dxa" w:w="3888"/>
            <w:shd w:fill="F8FAFC"/>
            <w:tcMar>
              <w:top w:w="80" w:type="dxa"/>
              <w:bottom w:w="80" w:type="dxa"/>
              <w:left w:w="120" w:type="dxa"/>
              <w:right w:w="120" w:type="dxa"/>
            </w:tcMar>
          </w:tcPr>
          <w:p>
            <w:pPr>
              <w:spacing w:before="0" w:after="0"/>
            </w:pPr>
            <w:r>
              <w:rPr>
                <w:rFonts w:ascii="Calibri" w:hAnsi="Calibri"/>
                <w:color w:val="64748B"/>
                <w:sz w:val="18"/>
              </w:rPr>
              <w:t>43 Institutional &amp; Fortune 500 Brands</w:t>
            </w:r>
          </w:p>
        </w:tc>
        <w:tc>
          <w:tcPr>
            <w:tcW w:type="dxa" w:w="2304"/>
            <w:shd w:fill="F8FAFC"/>
            <w:tcMar>
              <w:top w:w="80" w:type="dxa"/>
              <w:bottom w:w="80" w:type="dxa"/>
              <w:left w:w="120" w:type="dxa"/>
              <w:right w:w="120" w:type="dxa"/>
            </w:tcMar>
          </w:tcPr>
          <w:p>
            <w:pPr>
              <w:spacing w:before="0" w:after="0"/>
            </w:pPr>
            <w:r>
              <w:rPr>
                <w:rFonts w:ascii="Calibri" w:hAnsi="Calibri"/>
                <w:b/>
                <w:color w:val="166534"/>
                <w:sz w:val="18"/>
              </w:rPr>
              <w:t>Live in Infinite Marquee</w:t>
            </w:r>
          </w:p>
        </w:tc>
      </w:tr>
      <w:tr>
        <w:tc>
          <w:tcPr>
            <w:tcW w:type="dxa" w:w="3168"/>
            <w:shd w:fill="FFFFFF"/>
            <w:tcMar>
              <w:top w:w="80" w:type="dxa"/>
              <w:bottom w:w="80" w:type="dxa"/>
              <w:left w:w="120" w:type="dxa"/>
              <w:right w:w="120" w:type="dxa"/>
            </w:tcMar>
          </w:tcPr>
          <w:p>
            <w:pPr>
              <w:spacing w:before="0" w:after="0"/>
            </w:pPr>
            <w:r>
              <w:rPr>
                <w:rFonts w:ascii="Calibri" w:hAnsi="Calibri"/>
                <w:b/>
                <w:color w:val="1E293B"/>
                <w:sz w:val="18"/>
              </w:rPr>
              <w:t>High-Resolution Performance Photos</w:t>
            </w:r>
          </w:p>
        </w:tc>
        <w:tc>
          <w:tcPr>
            <w:tcW w:type="dxa" w:w="3888"/>
            <w:shd w:fill="FFFFFF"/>
            <w:tcMar>
              <w:top w:w="80" w:type="dxa"/>
              <w:bottom w:w="80" w:type="dxa"/>
              <w:left w:w="120" w:type="dxa"/>
              <w:right w:w="120" w:type="dxa"/>
            </w:tcMar>
          </w:tcPr>
          <w:p>
            <w:pPr>
              <w:spacing w:before="0" w:after="0"/>
            </w:pPr>
            <w:r>
              <w:rPr>
                <w:rFonts w:ascii="Calibri" w:hAnsi="Calibri"/>
                <w:color w:val="64748B"/>
                <w:sz w:val="18"/>
              </w:rPr>
              <w:t>78 Curated Photos in Gallery Modal</w:t>
            </w:r>
          </w:p>
        </w:tc>
        <w:tc>
          <w:tcPr>
            <w:tcW w:type="dxa" w:w="2304"/>
            <w:shd w:fill="FFFFFF"/>
            <w:tcMar>
              <w:top w:w="80" w:type="dxa"/>
              <w:bottom w:w="80" w:type="dxa"/>
              <w:left w:w="120" w:type="dxa"/>
              <w:right w:w="120" w:type="dxa"/>
            </w:tcMar>
          </w:tcPr>
          <w:p>
            <w:pPr>
              <w:spacing w:before="0" w:after="0"/>
            </w:pPr>
            <w:r>
              <w:rPr>
                <w:rFonts w:ascii="Calibri" w:hAnsi="Calibri"/>
                <w:b/>
                <w:color w:val="166534"/>
                <w:sz w:val="18"/>
              </w:rPr>
              <w:t>Live in Event Gallery</w:t>
            </w:r>
          </w:p>
        </w:tc>
      </w:tr>
      <w:tr>
        <w:tc>
          <w:tcPr>
            <w:tcW w:type="dxa" w:w="3168"/>
            <w:shd w:fill="F8FAFC"/>
            <w:tcMar>
              <w:top w:w="80" w:type="dxa"/>
              <w:bottom w:w="80" w:type="dxa"/>
              <w:left w:w="120" w:type="dxa"/>
              <w:right w:w="120" w:type="dxa"/>
            </w:tcMar>
          </w:tcPr>
          <w:p>
            <w:pPr>
              <w:spacing w:before="0" w:after="0"/>
            </w:pPr>
            <w:r>
              <w:rPr>
                <w:rFonts w:ascii="Calibri" w:hAnsi="Calibri"/>
                <w:b/>
                <w:color w:val="1E293B"/>
                <w:sz w:val="18"/>
              </w:rPr>
              <w:t>Live Video Testimonial Shorts</w:t>
            </w:r>
          </w:p>
        </w:tc>
        <w:tc>
          <w:tcPr>
            <w:tcW w:type="dxa" w:w="3888"/>
            <w:shd w:fill="F8FAFC"/>
            <w:tcMar>
              <w:top w:w="80" w:type="dxa"/>
              <w:bottom w:w="80" w:type="dxa"/>
              <w:left w:w="120" w:type="dxa"/>
              <w:right w:w="120" w:type="dxa"/>
            </w:tcMar>
          </w:tcPr>
          <w:p>
            <w:pPr>
              <w:spacing w:before="0" w:after="0"/>
            </w:pPr>
            <w:r>
              <w:rPr>
                <w:rFonts w:ascii="Calibri" w:hAnsi="Calibri"/>
                <w:color w:val="64748B"/>
                <w:sz w:val="18"/>
              </w:rPr>
              <w:t>16 Interactive YouTube Shorts</w:t>
            </w:r>
          </w:p>
        </w:tc>
        <w:tc>
          <w:tcPr>
            <w:tcW w:type="dxa" w:w="2304"/>
            <w:shd w:fill="F8FAFC"/>
            <w:tcMar>
              <w:top w:w="80" w:type="dxa"/>
              <w:bottom w:w="80" w:type="dxa"/>
              <w:left w:w="120" w:type="dxa"/>
              <w:right w:w="120" w:type="dxa"/>
            </w:tcMar>
          </w:tcPr>
          <w:p>
            <w:pPr>
              <w:spacing w:before="0" w:after="0"/>
            </w:pPr>
            <w:r>
              <w:rPr>
                <w:rFonts w:ascii="Calibri" w:hAnsi="Calibri"/>
                <w:b/>
                <w:color w:val="166534"/>
                <w:sz w:val="18"/>
              </w:rPr>
              <w:t>Live with Lightbox Player</w:t>
            </w:r>
          </w:p>
        </w:tc>
      </w:tr>
      <w:tr>
        <w:tc>
          <w:tcPr>
            <w:tcW w:type="dxa" w:w="3168"/>
            <w:shd w:fill="FFFFFF"/>
            <w:tcMar>
              <w:top w:w="80" w:type="dxa"/>
              <w:bottom w:w="80" w:type="dxa"/>
              <w:left w:w="120" w:type="dxa"/>
              <w:right w:w="120" w:type="dxa"/>
            </w:tcMar>
          </w:tcPr>
          <w:p>
            <w:pPr>
              <w:spacing w:before="0" w:after="0"/>
            </w:pPr>
            <w:r>
              <w:rPr>
                <w:rFonts w:ascii="Calibri" w:hAnsi="Calibri"/>
                <w:b/>
                <w:color w:val="1E293B"/>
                <w:sz w:val="18"/>
              </w:rPr>
              <w:t>Verified Written Client Testimonials</w:t>
            </w:r>
          </w:p>
        </w:tc>
        <w:tc>
          <w:tcPr>
            <w:tcW w:type="dxa" w:w="3888"/>
            <w:shd w:fill="FFFFFF"/>
            <w:tcMar>
              <w:top w:w="80" w:type="dxa"/>
              <w:bottom w:w="80" w:type="dxa"/>
              <w:left w:w="120" w:type="dxa"/>
              <w:right w:w="120" w:type="dxa"/>
            </w:tcMar>
          </w:tcPr>
          <w:p>
            <w:pPr>
              <w:spacing w:before="0" w:after="0"/>
            </w:pPr>
            <w:r>
              <w:rPr>
                <w:rFonts w:ascii="Calibri" w:hAnsi="Calibri"/>
                <w:color w:val="64748B"/>
                <w:sz w:val="18"/>
              </w:rPr>
              <w:t>36 Corporate Reviews</w:t>
            </w:r>
          </w:p>
        </w:tc>
        <w:tc>
          <w:tcPr>
            <w:tcW w:type="dxa" w:w="2304"/>
            <w:shd w:fill="FFFFFF"/>
            <w:tcMar>
              <w:top w:w="80" w:type="dxa"/>
              <w:bottom w:w="80" w:type="dxa"/>
              <w:left w:w="120" w:type="dxa"/>
              <w:right w:w="120" w:type="dxa"/>
            </w:tcMar>
          </w:tcPr>
          <w:p>
            <w:pPr>
              <w:spacing w:before="0" w:after="0"/>
            </w:pPr>
            <w:r>
              <w:rPr>
                <w:rFonts w:ascii="Calibri" w:hAnsi="Calibri"/>
                <w:b/>
                <w:color w:val="166534"/>
                <w:sz w:val="18"/>
              </w:rPr>
              <w:t>Live in Luxury Slider</w:t>
            </w:r>
          </w:p>
        </w:tc>
      </w:tr>
    </w:tbl>
    <w:p>
      <w:pPr>
        <w:spacing w:before="480" w:after="0"/>
        <w:jc w:val="center"/>
      </w:pPr>
      <w:r>
        <w:rPr>
          <w:rFonts w:ascii="Calibri" w:hAnsi="Calibri"/>
          <w:color w:val="64748B"/>
          <w:sz w:val="18"/>
        </w:rPr>
        <w:t>Report prepared for Adrian Saint Entertainment • October 31, 2026</w:t>
        <w:br/>
        <w:t>Confidential &amp; Proprietary</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