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C5A059"/>
          <w:sz w:val="19"/>
        </w:rPr>
        <w:t>EXECUTIVE CLIENT REPORT • SEPTEMBER 2026</w:t>
        <w:br/>
      </w:r>
      <w:r>
        <w:rPr>
          <w:rFonts w:ascii="Georgia" w:hAnsi="Georgia"/>
          <w:b/>
          <w:color w:val="0A0B0E"/>
          <w:sz w:val="48"/>
        </w:rPr>
        <w:t>Adrian Saint Corporate Mentalist</w:t>
      </w:r>
    </w:p>
    <w:p>
      <w:pPr>
        <w:spacing w:before="0" w:after="280"/>
      </w:pPr>
      <w:r>
        <w:rPr>
          <w:rFonts w:ascii="Calibri" w:hAnsi="Calibri"/>
          <w:color w:val="64748B"/>
          <w:sz w:val="26"/>
        </w:rPr>
        <w:t>Monthly Website Development &amp; Technical SEO Performance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insideH w:val="single" w:sz="6" w:space="0" w:color="CBD5E1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64748B"/>
                <w:sz w:val="17"/>
              </w:rPr>
              <w:t>REPORTING PERIOD</w:t>
              <w:br/>
            </w:r>
            <w:r>
              <w:rPr>
                <w:rFonts w:ascii="Calibri" w:hAnsi="Calibri"/>
                <w:b/>
                <w:color w:val="1E293B"/>
                <w:sz w:val="21"/>
              </w:rPr>
              <w:t>September 2026</w:t>
            </w:r>
          </w:p>
        </w:tc>
        <w:tc>
          <w:tcPr>
            <w:tcW w:type="dxa" w:w="46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64748B"/>
                <w:sz w:val="17"/>
              </w:rPr>
              <w:t>CLIENT / BRAND</w:t>
              <w:br/>
            </w:r>
            <w:r>
              <w:rPr>
                <w:rFonts w:ascii="Calibri" w:hAnsi="Calibri"/>
                <w:b/>
                <w:color w:val="1E293B"/>
                <w:sz w:val="21"/>
              </w:rPr>
              <w:t>Adrian Saint Entertainment</w:t>
            </w:r>
          </w:p>
        </w:tc>
      </w:tr>
      <w:tr>
        <w:tc>
          <w:tcPr>
            <w:tcW w:type="dxa" w:w="46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64748B"/>
                <w:sz w:val="17"/>
              </w:rPr>
              <w:t>LIVE PLATFORM</w:t>
              <w:br/>
            </w:r>
            <w:r>
              <w:rPr>
                <w:rFonts w:ascii="Calibri" w:hAnsi="Calibri"/>
                <w:b/>
                <w:color w:val="1E293B"/>
                <w:sz w:val="21"/>
              </w:rPr>
              <w:t>https://adriansaintmentalist.com</w:t>
            </w:r>
          </w:p>
        </w:tc>
        <w:tc>
          <w:tcPr>
            <w:tcW w:type="dxa" w:w="468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64748B"/>
                <w:sz w:val="17"/>
              </w:rPr>
              <w:t>STATUS</w:t>
              <w:br/>
            </w:r>
            <w:r>
              <w:rPr>
                <w:rFonts w:ascii="Calibri" w:hAnsi="Calibri"/>
                <w:b/>
                <w:color w:val="1E293B"/>
                <w:sz w:val="21"/>
              </w:rPr>
              <w:t>100% Deployed &amp; Live on Production</w:t>
            </w:r>
          </w:p>
        </w:tc>
      </w:tr>
    </w:tbl>
    <w:p>
      <w:pPr>
        <w:spacing w:before="240" w:after="240"/>
      </w:pPr>
    </w:p>
    <w:p>
      <w:pPr>
        <w:spacing w:before="280" w:after="120"/>
      </w:pPr>
      <w:r>
        <w:rPr>
          <w:rFonts w:ascii="Georgia" w:hAnsi="Georgia"/>
          <w:b/>
          <w:color w:val="0A0B0E"/>
          <w:sz w:val="32"/>
        </w:rPr>
        <w:t>Executive Summary</w:t>
      </w:r>
    </w:p>
    <w:p>
      <w:pPr>
        <w:spacing w:after="200" w:line="276" w:lineRule="auto"/>
      </w:pPr>
      <w:r>
        <w:rPr>
          <w:rFonts w:ascii="Calibri" w:hAnsi="Calibri"/>
          <w:color w:val="1E293B"/>
          <w:sz w:val="21"/>
        </w:rPr>
        <w:t>During September 2026, the digital presence for Adrian Saint – Corporate Mentalist &amp; Mind Reader underwent a comprehensive architectural transformation. The web platform was expanded from a single landing page into a full-scale, enterprise-ready corporate lead generation ecosystem consisting of 19 fully optimized production pages. Every page was built with conversion rate optimization (CRO), bespoke Schema.org JSON-LD structured data, responsive mobile engineering, and a complete sitewide internal linking network designed to maximize organic Google search rankings across Southern California, the Desert Resorts, California Wine Country, and the greater Southwest.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8FAFC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40"/>
              </w:rPr>
              <w:t>19</w:t>
              <w:br/>
            </w:r>
            <w:r>
              <w:rPr>
                <w:rFonts w:ascii="Calibri" w:hAnsi="Calibri"/>
                <w:b/>
                <w:color w:val="64748B"/>
                <w:sz w:val="17"/>
              </w:rPr>
              <w:t>Live Pages</w:t>
            </w:r>
          </w:p>
        </w:tc>
        <w:tc>
          <w:tcPr>
            <w:tcW w:type="dxa" w:w="2340"/>
            <w:shd w:fill="F8FAFC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40"/>
              </w:rPr>
              <w:t>14</w:t>
              <w:br/>
            </w:r>
            <w:r>
              <w:rPr>
                <w:rFonts w:ascii="Calibri" w:hAnsi="Calibri"/>
                <w:b/>
                <w:color w:val="64748B"/>
                <w:sz w:val="17"/>
              </w:rPr>
              <w:t>Regional SEO Hubs</w:t>
            </w:r>
          </w:p>
        </w:tc>
        <w:tc>
          <w:tcPr>
            <w:tcW w:type="dxa" w:w="2340"/>
            <w:shd w:fill="F8FAFC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40"/>
              </w:rPr>
              <w:t>200+</w:t>
              <w:br/>
            </w:r>
            <w:r>
              <w:rPr>
                <w:rFonts w:ascii="Calibri" w:hAnsi="Calibri"/>
                <w:b/>
                <w:color w:val="64748B"/>
                <w:sz w:val="17"/>
              </w:rPr>
              <w:t>Internal Links</w:t>
            </w:r>
          </w:p>
        </w:tc>
        <w:tc>
          <w:tcPr>
            <w:tcW w:type="dxa" w:w="2340"/>
            <w:shd w:fill="F8FAFC"/>
            <w:tcMar>
              <w:top w:w="160" w:type="dxa"/>
              <w:bottom w:w="16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Georgia" w:hAnsi="Georgia"/>
                <w:b/>
                <w:color w:val="C5A059"/>
                <w:sz w:val="40"/>
              </w:rPr>
              <w:t>43</w:t>
              <w:br/>
            </w:r>
            <w:r>
              <w:rPr>
                <w:rFonts w:ascii="Calibri" w:hAnsi="Calibri"/>
                <w:b/>
                <w:color w:val="64748B"/>
                <w:sz w:val="17"/>
              </w:rPr>
              <w:t>Client Logos</w:t>
            </w:r>
          </w:p>
        </w:tc>
      </w:tr>
    </w:tbl>
    <w:p>
      <w:pPr>
        <w:spacing w:before="360" w:after="120"/>
      </w:pPr>
      <w:r>
        <w:rPr>
          <w:rFonts w:ascii="Georgia" w:hAnsi="Georgia"/>
          <w:b/>
          <w:color w:val="0A0B0E"/>
          <w:sz w:val="30"/>
        </w:rPr>
        <w:t>1. Site Building &amp; Architecture Milestones</w:t>
      </w:r>
    </w:p>
    <w:p>
      <w:pPr>
        <w:spacing w:before="160" w:after="80"/>
      </w:pPr>
      <w:r>
        <w:rPr>
          <w:rFonts w:ascii="Calibri" w:hAnsi="Calibri"/>
          <w:b/>
          <w:color w:val="1E293B"/>
          <w:sz w:val="24"/>
        </w:rPr>
        <w:t>A. Dedicated Service Landing Pages (3 New Pages)</w:t>
      </w:r>
    </w:p>
    <w:p>
      <w:pPr>
        <w:pStyle w:val="ListBullet"/>
        <w:spacing w:before="40" w:after="80"/>
      </w:pPr>
      <w:r>
        <w:rPr>
          <w:rFonts w:ascii="Calibri" w:hAnsi="Calibri"/>
          <w:b/>
          <w:sz w:val="20"/>
        </w:rPr>
        <w:t xml:space="preserve">Corporate Stage Show (/corporate-stage-show | alias /stage-show): </w:t>
      </w:r>
      <w:r>
        <w:rPr>
          <w:rFonts w:ascii="Calibri" w:hAnsi="Calibri"/>
          <w:color w:val="1E293B"/>
          <w:sz w:val="20"/>
        </w:rPr>
        <w:t>Comprehensive anatomy covering 30–75 min keynote openers, awards banquet headliners, and executive retreats. Details audience engagement, precision telepathy, turnkey AV requirements, and includes 6 bespoke service FAQs.</w:t>
      </w:r>
    </w:p>
    <w:p>
      <w:pPr>
        <w:pStyle w:val="ListBullet"/>
        <w:spacing w:before="40" w:after="80"/>
      </w:pPr>
      <w:r>
        <w:rPr>
          <w:rFonts w:ascii="Calibri" w:hAnsi="Calibri"/>
          <w:b/>
          <w:sz w:val="20"/>
        </w:rPr>
        <w:t xml:space="preserve">Strolling Mind Reading (/strolling-mind-reading | alias /strolling): </w:t>
      </w:r>
      <w:r>
        <w:rPr>
          <w:rFonts w:ascii="Calibri" w:hAnsi="Calibri"/>
          <w:color w:val="1E293B"/>
          <w:sz w:val="20"/>
        </w:rPr>
        <w:t>Tailored for cocktail hours, VIP mingling receptions, networking dinners, and trade show lead generation. Focuses on zero-footprint logistics, organic mingling dynamics, and includes 6 close-up FAQs.</w:t>
      </w:r>
    </w:p>
    <w:p>
      <w:pPr>
        <w:pStyle w:val="ListBullet"/>
        <w:spacing w:before="40" w:after="80"/>
      </w:pPr>
      <w:r>
        <w:rPr>
          <w:rFonts w:ascii="Calibri" w:hAnsi="Calibri"/>
          <w:b/>
          <w:sz w:val="20"/>
        </w:rPr>
        <w:t xml:space="preserve">Team Building (/team-building): </w:t>
      </w:r>
      <w:r>
        <w:rPr>
          <w:rFonts w:ascii="Calibri" w:hAnsi="Calibri"/>
          <w:color w:val="1E293B"/>
          <w:sz w:val="20"/>
        </w:rPr>
        <w:t>Interactive psychological mind-sync workshops for leadership retreats, corporate offsites, and cross-departmental collaboration. Highlights 100% dignified participation, intuition exercises, and 6 corporate FAQs.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B. Regional Local SEO Hubs (14 Target Municipalities)</w:t>
      </w:r>
    </w:p>
    <w:p>
      <w:pPr>
        <w:spacing w:after="120"/>
      </w:pPr>
      <w:r>
        <w:rPr>
          <w:rFonts w:ascii="Calibri" w:hAnsi="Calibri"/>
          <w:color w:val="1E293B"/>
          <w:sz w:val="20"/>
        </w:rPr>
        <w:t>Built and deployed 14 dedicated local landing pages engineered to dominate Google organic and local queries for corporate entertainment: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Los Angeles, CA (/corporate-magician-los-angeles | aliases: /los-angeles, /la)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San Diego, CA (/corporate-magician-san-diego | alias: /san-diego)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San Francisco, CA (/corporate-magician-san-francisco | aliases: /san-francisco, /sf)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Phoenix, AZ (/corporate-magician-phoenix | alias: /phoenix)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Scottsdale, AZ (/corporate-magician-scottsdale | alias: /scottsdale)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Anaheim, CA (/corporate-magician-anaheim | alias: /anaheim)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Irvine, CA (/corporate-magician-irvine | alias: /irvine)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Santa Ana, CA (/corporate-magician-santa-ana | alias: /santa-ana)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Huntington Beach, CA (/corporate-magician-huntington-beach | aliases: /huntington-beach, /hb)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Garden Grove, CA (/corporate-magician-garden-grove | alias: /garden-grove)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Newport Beach, CA (/corporate-magician-newport-beach | aliases: /newport-beach, /newport, /nb)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Palm Springs, CA (/corporate-magician-palm-springs | aliases: /palm-springs, /ps)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Palm Desert, CA (/corporate-magician-palm-desert | aliases: /palm-desert, /pd)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19"/>
        </w:rPr>
        <w:t>Napa Valley, CA (/corporate-magician-napa | aliases: /napa, /napa-valley, /wine-country)</w:t>
      </w:r>
    </w:p>
    <w:p>
      <w:pPr>
        <w:spacing w:before="80" w:after="200"/>
      </w:pPr>
      <w:r>
        <w:rPr>
          <w:rFonts w:ascii="Calibri" w:hAnsi="Calibri"/>
          <w:i/>
          <w:color w:val="64748B"/>
          <w:sz w:val="19"/>
        </w:rPr>
        <w:t>Each city page includes exact municipal GPS coordinates, areaServed Schema.org markup, 3 curated premier venue cards (e.g., Anaheim Convention Center, Hyatt Regency Irvine, Bowers Museum, Waterfront Beach Resort, Resort at Pelican Hill, Palm Springs Convention Center, JW Marriott Desert Springs, Meritage Resort &amp; Wine Caves), local zero-flight-delay drive-in logistics callouts, and 5 localized venue/event FAQs.</w:t>
      </w:r>
    </w:p>
    <w:p>
      <w:pPr>
        <w:spacing w:before="320" w:after="120"/>
      </w:pPr>
      <w:r>
        <w:rPr>
          <w:rFonts w:ascii="Georgia" w:hAnsi="Georgia"/>
          <w:b/>
          <w:color w:val="0A0B0E"/>
          <w:sz w:val="30"/>
        </w:rPr>
        <w:t>2. Conversion Rate Optimization (CRO) &amp; Media Assets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214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FEATURE / ASSET</w:t>
            </w:r>
          </w:p>
        </w:tc>
        <w:tc>
          <w:tcPr>
            <w:tcW w:type="dxa" w:w="3120"/>
            <w:shd w:fill="1214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SPECIFICATION &amp; SCOPE</w:t>
            </w:r>
          </w:p>
        </w:tc>
        <w:tc>
          <w:tcPr>
            <w:tcW w:type="dxa" w:w="3120"/>
            <w:shd w:fill="1214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BUSINESS &amp; BOOKING IMPACT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Interactive Booking Modal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Fast-track inquiry modal with date, guest count, format selector, and 24–48h SLA.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Eliminates bounce rates; delivers qualified lead parameters directly to Adrian.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43-Brand Enterprise Ticker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Seamless animated marquee featuring UC San Diego Jacobs School of Engineering, USC, UC Davis, Tournament of Roses, Meta, BMW, Google, Cisco, Sharp, MetLife, etc.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Delivers immediate enterprise-grade authority and trust above the fold.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16 YouTube Shorts Carousel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Video carousel with live audience reactions, custom navigation &amp; lightbox modal.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Drives high social proof on mobile devices where video retention is highest.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78-Photo Event Gallery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High-resolution corporate gallery with category filters and full-screen viewer.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Proves crowd engagement, scale of banquets, and stage presence.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36 Executive Reviews Slider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Luxury slider featuring verified corporate testimonials with names, titles &amp; firms.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Reinforces 100% HR-safe, non-offensive corporate track record.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Brand Favicon &amp; Web App Suite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Custom SVG, retina PNGs (16x16, 32x32, 48x48), Apple Touch icon, and manifest.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Crisp luxury branding across Chrome tabs, bookmarks, and mobile home screens.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Marketing EPK Downloads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One-click download triggers for Marketing Brochure &amp; One-Sheeter PDFs.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Enables event planners to immediately share materials with committee members.</w:t>
            </w:r>
          </w:p>
        </w:tc>
      </w:tr>
    </w:tbl>
    <w:p>
      <w:pPr>
        <w:spacing w:before="360" w:after="120"/>
      </w:pPr>
      <w:r>
        <w:rPr>
          <w:rFonts w:ascii="Georgia" w:hAnsi="Georgia"/>
          <w:b/>
          <w:color w:val="0A0B0E"/>
          <w:sz w:val="30"/>
        </w:rPr>
        <w:t>3. Technical SEO &amp; Internal Linking Network</w:t>
      </w:r>
    </w:p>
    <w:p>
      <w:pPr>
        <w:spacing w:before="80" w:after="80"/>
      </w:pPr>
      <w:r>
        <w:rPr>
          <w:rFonts w:ascii="Calibri" w:hAnsi="Calibri"/>
          <w:b/>
          <w:color w:val="1E293B"/>
          <w:sz w:val="24"/>
        </w:rPr>
        <w:t>A. Sitewide Internal Linking Mesh (100% Implemented)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Global Footer Navigation: </w:t>
      </w:r>
      <w:r>
        <w:rPr>
          <w:rFonts w:ascii="Calibri" w:hAnsi="Calibri"/>
          <w:color w:val="1E293B"/>
          <w:sz w:val="19"/>
        </w:rPr>
        <w:t>Updated Column 2 across all 19 HTML production pages to link directly to /corporate-stage-show, /strolling-mind-reading, /team-building, and /contact; and Popular Hubs to link to all 14 regional hubs.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Card-Level Contextual Links: </w:t>
      </w:r>
      <w:r>
        <w:rPr>
          <w:rFonts w:ascii="Calibri" w:hAnsi="Calibri"/>
          <w:color w:val="1E293B"/>
          <w:sz w:val="19"/>
        </w:rPr>
        <w:t>Integrated contextual exploration text links ('Explore Stage Show Format →', 'Explore Strolling Mentalism →', 'Explore Team Building Format →') inside Performance Package cards across Homepage and all 14 location pages without altering the instant booking modals.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Service Cross-Linking: </w:t>
      </w:r>
      <w:r>
        <w:rPr>
          <w:rFonts w:ascii="Calibri" w:hAnsi="Calibri"/>
          <w:color w:val="1E293B"/>
          <w:sz w:val="19"/>
        </w:rPr>
        <w:t>Each service page contains a dedicated 'Complementary Entertainment Formats' grid cross-linking to the other two formats.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Geographic Service Anchor Links: </w:t>
      </w:r>
      <w:r>
        <w:rPr>
          <w:rFonts w:ascii="Calibri" w:hAnsi="Calibri"/>
          <w:color w:val="1E293B"/>
          <w:sz w:val="19"/>
        </w:rPr>
        <w:t>Service pages link down into major regional convention hubs (Los Angeles, San Diego, Irvine, Anaheim, San Francisco, Phoenix, Scottsdale).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Breadcrumb Navigation: </w:t>
      </w:r>
      <w:r>
        <w:rPr>
          <w:rFonts w:ascii="Calibri" w:hAnsi="Calibri"/>
          <w:color w:val="1E293B"/>
          <w:sz w:val="19"/>
        </w:rPr>
        <w:t>Implemented hierarchical breadcrumb navigation (Home &gt; Entertainment Options &gt; [Service]) with schema markup across all interior pages.</w:t>
      </w:r>
    </w:p>
    <w:p>
      <w:pPr>
        <w:spacing w:before="200" w:after="80"/>
      </w:pPr>
      <w:r>
        <w:rPr>
          <w:rFonts w:ascii="Calibri" w:hAnsi="Calibri"/>
          <w:b/>
          <w:color w:val="1E293B"/>
          <w:sz w:val="24"/>
        </w:rPr>
        <w:t>B. Structured Data, Routing &amp; Site Hygiene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Schema.org JSON-LD: </w:t>
      </w:r>
      <w:r>
        <w:rPr>
          <w:rFonts w:ascii="Calibri" w:hAnsi="Calibri"/>
          <w:color w:val="1E293B"/>
          <w:sz w:val="19"/>
        </w:rPr>
        <w:t>Implemented Person, EntertainmentBusiness, Service, Place, FAQPage, and GeoCoordinates structured data across all 19 pages.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Clean URLs &amp; 50+ 301 Redirects: </w:t>
      </w:r>
      <w:r>
        <w:rPr>
          <w:rFonts w:ascii="Calibri" w:hAnsi="Calibri"/>
          <w:color w:val="1E293B"/>
          <w:sz w:val="19"/>
        </w:rPr>
        <w:t>Configured in vercel.json to support clean extensionless URLs (/stage-show, /la, /irvine, /newport, /ps, /pd, /napa) and automatically catch common misspellings.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A0B0E"/>
          <w:sz w:val="19"/>
        </w:rPr>
        <w:t xml:space="preserve">Sitemap &amp; Canonical Hygiene: </w:t>
      </w:r>
      <w:r>
        <w:rPr>
          <w:rFonts w:ascii="Calibri" w:hAnsi="Calibri"/>
          <w:color w:val="1E293B"/>
          <w:sz w:val="19"/>
        </w:rPr>
        <w:t>All 19 active URLs indexed in sitemap.xml with prioritized crawl weights (1.0 home, 0.9 services, 0.8 locations) and self-referencing canonical tags.</w:t>
      </w:r>
    </w:p>
    <w:p>
      <w:pPr>
        <w:spacing w:before="360" w:after="120"/>
      </w:pPr>
      <w:r>
        <w:rPr>
          <w:rFonts w:ascii="Georgia" w:hAnsi="Georgia"/>
          <w:b/>
          <w:color w:val="0A0B0E"/>
          <w:sz w:val="30"/>
        </w:rPr>
        <w:t>4. Summary of Deliverables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214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DELIVERABLE CATEGORY</w:t>
            </w:r>
          </w:p>
        </w:tc>
        <w:tc>
          <w:tcPr>
            <w:tcW w:type="dxa" w:w="3120"/>
            <w:shd w:fill="1214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VOLUME / COUNT</w:t>
            </w:r>
          </w:p>
        </w:tc>
        <w:tc>
          <w:tcPr>
            <w:tcW w:type="dxa" w:w="3120"/>
            <w:shd w:fill="12141A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PRODUCTION STATUS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Total Live Production Pages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 Pages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on Production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On-Page Optimized Title Tags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 Custom Titles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Across 19 Pages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High-CTR Meta Descriptions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19 Custom Descriptions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Across 19 Pages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Core Service Landing Pages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 Dedicated Pages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on Production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Regional Local SEO City Hubs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14 Dedicated Pages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on Production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Sitewide Internal Links Mesh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200+ Structured Links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Across 19 Pages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Verified Enterprise Client Logos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43 Brands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in Infinite Marquee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High-Resolution Performance Photos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78 Curated Photos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in Event Gallery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Live Video Shorts Carousel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16 YouTube Shorts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with Lightbox Player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Verified Written Client Testimonials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36 Corporate Reviews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Live in Luxury Slider</w:t>
            </w:r>
          </w:p>
        </w:tc>
      </w:tr>
      <w:tr>
        <w:tc>
          <w:tcPr>
            <w:tcW w:type="dxa" w:w="43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301 Clean URL Redirect Rules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50+ Permanent Rules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Configured in vercel.json</w:t>
            </w:r>
          </w:p>
        </w:tc>
      </w:tr>
      <w:tr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A0B0E"/>
                <w:sz w:val="18"/>
              </w:rPr>
              <w:t>Brand Favicon &amp; Web App Suite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color w:val="1E293B"/>
                <w:sz w:val="18"/>
              </w:rPr>
              <w:t>8 Icon Assets + Manifest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0B981"/>
                <w:sz w:val="18"/>
              </w:rPr>
              <w:t>Deployed Across 19 Pages</w:t>
            </w:r>
          </w:p>
        </w:tc>
      </w:tr>
    </w:tbl>
    <w:p>
      <w:pPr>
        <w:spacing w:before="560" w:after="0"/>
        <w:jc w:val="center"/>
      </w:pPr>
      <w:r>
        <w:rPr>
          <w:rFonts w:ascii="Calibri" w:hAnsi="Calibri"/>
          <w:i/>
          <w:color w:val="64748B"/>
          <w:sz w:val="17"/>
        </w:rPr>
        <w:t>Report prepared for Adrian Saint Entertainment • September 30, 2026</w:t>
        <w:br/>
        <w:t>Confidential &amp; Proprietary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