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center"/>
      </w:pPr>
      <w:r>
        <w:rPr>
          <w:rFonts w:ascii="Arial" w:hAnsi="Arial"/>
          <w:b/>
          <w:color w:val="5A6B7C"/>
          <w:sz w:val="22"/>
        </w:rPr>
        <w:t>DEPARTMENT OF INFORMATION TECHNOLOGY</w:t>
      </w:r>
    </w:p>
    <w:p>
      <w:pPr>
        <w:spacing w:after="120"/>
        <w:jc w:val="center"/>
      </w:pPr>
      <w:r>
        <w:rPr>
          <w:rFonts w:ascii="Arial" w:hAnsi="Arial"/>
          <w:b/>
          <w:color w:val="1F4E78"/>
          <w:sz w:val="76"/>
        </w:rPr>
        <w:t>IT CHRONICLES</w:t>
      </w:r>
    </w:p>
    <w:p>
      <w:pPr>
        <w:spacing w:after="560"/>
        <w:jc w:val="center"/>
      </w:pPr>
      <w:r>
        <w:rPr>
          <w:rFonts w:ascii="Arial" w:hAnsi="Arial"/>
          <w:i/>
          <w:color w:val="5A6B7C"/>
          <w:sz w:val="26"/>
        </w:rPr>
        <w:t>The Biannual Journal of Innovation, Research &amp; Student Excellence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BF3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8"/>
                <w:sz w:val="19"/>
              </w:rPr>
              <w:t>{{issue_volume_issue}}   •   Academic Year: {{issue_academic_year}}   •   Semester: {{issue_semester}}   •   Period: {{issue_period}}</w:t>
            </w:r>
          </w:p>
        </w:tc>
      </w:tr>
    </w:tbl>
    <w:p>
      <w:pPr>
        <w:spacing w:after="7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>
              <w:rPr>
                <w:b/>
                <w:color w:val="C65911"/>
                <w:sz w:val="22"/>
              </w:rPr>
              <w:t>★  IN THIS ISSUE  ★</w:t>
              <w:br/>
            </w:r>
          </w:p>
          <w:p>
            <w:pPr>
              <w:spacing w:line="312" w:lineRule="auto"/>
            </w:pPr>
            <w:r>
              <w:rPr>
                <w:color w:val="323232"/>
                <w:sz w:val="19"/>
              </w:rPr>
              <w:t>◆ Research Milestones &amp; Funded Grants: Break-through publications and national research grants.</w:t>
              <w:br/>
            </w:r>
            <w:r>
              <w:rPr>
                <w:color w:val="323232"/>
                <w:sz w:val="19"/>
              </w:rPr>
              <w:t>◆ Faculty Honors &amp; Global Keynotes: National awards, expert symposiums, and certifications.</w:t>
              <w:br/>
            </w:r>
            <w:r>
              <w:rPr>
                <w:color w:val="323232"/>
                <w:sz w:val="19"/>
              </w:rPr>
              <w:t>◆ Student Hackathon Champions: National winners, placement stars, and creative tech innovations.</w:t>
              <w:br/>
            </w:r>
            <w:r>
              <w:rPr>
                <w:color w:val="323232"/>
                <w:sz w:val="19"/>
              </w:rPr>
              <w:t>◆ Industry &amp; Outreach Collaborations: MoUs, industry visits, and alumni leadership spotlights.</w:t>
              <w:br/>
            </w:r>
          </w:p>
        </w:tc>
      </w:tr>
    </w:tbl>
    <w:p>
      <w:r>
        <w:br w:type="page"/>
      </w:r>
    </w:p>
    <w:p>
      <w:pPr>
        <w:spacing w:before="320" w:after="200"/>
      </w:pPr>
      <w:r>
        <w:rPr>
          <w:rFonts w:ascii="Arial" w:hAnsi="Arial"/>
          <w:b/>
          <w:color w:val="1F4E78"/>
          <w:sz w:val="32"/>
        </w:rPr>
        <w:t>MESSAGES &amp; EDITORIAL LEADERSHIP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60" w:type="dxa"/>
              <w:bottom w:w="160" w:type="dxa"/>
              <w:left w:w="180" w:type="dxa"/>
              <w:right w:w="180" w:type="dxa"/>
            </w:tcMar>
            <w:tcBorders>
              <w:left w:val="single" w:sz="30" w:space="0" w:color="1F4E78"/>
              <w:top w:val="none"/>
              <w:right w:val="none"/>
              <w:bottom w:val="none"/>
            </w:tcBorders>
          </w:tcPr>
          <w:p>
            <w:r>
              <w:rPr>
                <w:b/>
                <w:color w:val="1F4E78"/>
                <w:sz w:val="24"/>
              </w:rPr>
              <w:t>Head of Department's Address</w:t>
              <w:br/>
            </w:r>
          </w:p>
          <w:p>
            <w:pPr>
              <w:spacing w:line="288" w:lineRule="auto"/>
            </w:pPr>
            <w:r>
              <w:rPr>
                <w:i/>
                <w:color w:val="222222"/>
                <w:sz w:val="20"/>
              </w:rPr>
              <w:t>“{{issue_hod_message}}”</w:t>
            </w:r>
          </w:p>
          <w:p>
            <w:pPr>
              <w:spacing w:before="160"/>
            </w:pPr>
            <w:r>
              <w:rPr>
                <w:b/>
                <w:color w:val="5A6B7C"/>
                <w:sz w:val="18"/>
              </w:rPr>
              <w:t>— Dr. Department Head, Ph.D.</w:t>
              <w:br/>
              <w:t>Professor &amp; Head, Department of Information Technology</w:t>
            </w:r>
          </w:p>
        </w:tc>
      </w:tr>
    </w:tbl>
    <w:p>
      <w:pPr>
        <w:spacing w:after="480"/>
      </w:pPr>
    </w:p>
    <w:p>
      <w:r>
        <w:t>{{MASTER_NEWSLETTER_CONTENT}}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