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F4E7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0"/>
              </w:rPr>
              <w:t xml:space="preserve">  RESEARCH &amp; INNOVATION  </w:t>
            </w:r>
          </w:p>
        </w:tc>
      </w:tr>
    </w:tbl>
    <w:p>
      <w:pPr>
        <w:spacing w:after="240"/>
      </w:pP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F4F7"/>
          </w:tcPr>
          <w:p>
            <w:r>
              <w:rPr>
                <w:sz w:val="18"/>
              </w:rPr>
              <w:t>Total Submissions</w:t>
            </w:r>
          </w:p>
          <w:p>
            <w:r>
              <w:rPr>
                <w:b/>
                <w:color w:val="1F4E78"/>
                <w:sz w:val="36"/>
              </w:rPr>
              <w:t>1</w:t>
            </w:r>
          </w:p>
        </w:tc>
        <w:tc>
          <w:tcPr>
            <w:tcW w:type="dxa" w:w="3312"/>
            <w:shd w:fill="EBF3F9"/>
          </w:tcPr>
          <w:p>
            <w:r>
              <w:rPr>
                <w:sz w:val="18"/>
              </w:rPr>
              <w:t>Active Categories</w:t>
            </w:r>
          </w:p>
          <w:p>
            <w:r>
              <w:rPr>
                <w:b/>
                <w:color w:val="2E75B6"/>
                <w:sz w:val="36"/>
              </w:rPr>
              <w:t>1</w:t>
            </w:r>
          </w:p>
        </w:tc>
        <w:tc>
          <w:tcPr>
            <w:tcW w:type="dxa" w:w="3312"/>
            <w:shd w:fill="F2F4F7"/>
          </w:tcPr>
          <w:p>
            <w:r>
              <w:rPr>
                <w:sz w:val="18"/>
              </w:rPr>
              <w:t>Section Status</w:t>
            </w:r>
          </w:p>
          <w:p>
            <w:r>
              <w:rPr>
                <w:b/>
                <w:color w:val="548235"/>
                <w:sz w:val="28"/>
              </w:rPr>
              <w:t>VERIFIED</w:t>
            </w:r>
          </w:p>
        </w:tc>
      </w:tr>
    </w:tbl>
    <w:p>
      <w:pPr>
        <w:spacing w:after="200"/>
      </w:pPr>
    </w:p>
    <w:p>
      <w:pPr>
        <w:spacing w:before="240"/>
      </w:pPr>
      <w:r>
        <w:rPr>
          <w:rFonts w:ascii="Arial" w:hAnsi="Arial"/>
          <w:b/>
          <w:color w:val="C65911"/>
          <w:sz w:val="26"/>
        </w:rPr>
        <w:t>★  SPOTLIGHT &amp; FEATURED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8F0"/>
          </w:tcPr>
          <w:p>
            <w:r>
              <w:rPr>
                <w:rFonts w:ascii="Arial" w:hAnsi="Arial"/>
                <w:b/>
                <w:color w:val="C65911"/>
                <w:sz w:val="24"/>
              </w:rPr>
              <w:t>Advanced Quantum AI for Document Automation</w:t>
            </w:r>
          </w:p>
          <w:p>
            <w:r>
              <w:rPr>
                <w:sz w:val="19"/>
              </w:rPr>
              <w:t>By: Dr. John Smith, Dr. Alice Johnson  |  Date: October 2026</w:t>
            </w:r>
            <w:r>
              <w:rPr>
                <w:sz w:val="19"/>
              </w:rPr>
              <w:t xml:space="preserve">  |  Venue: IEEE Transactions on Automation</w:t>
            </w:r>
          </w:p>
          <w:p>
            <w:r>
              <w:rPr>
                <w:sz w:val="20"/>
              </w:rPr>
              <w:t>This paper presents a novel quantum architecture for normalizing dynamic newsletter components.</w:t>
            </w:r>
          </w:p>
          <w:p>
            <w:r>
              <w:rPr>
                <w:i/>
                <w:color w:val="1F4E78"/>
                <w:sz w:val="18"/>
              </w:rPr>
              <w:t>Photo Attachment: https://drive.google.com/photo1.jpg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F4E78"/>
          <w:sz w:val="28"/>
        </w:rPr>
        <w:t>■  Journal Publications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3168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Title &amp; Contributor</w:t>
            </w:r>
          </w:p>
        </w:tc>
        <w:tc>
          <w:tcPr>
            <w:tcW w:type="dxa" w:w="2592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Venue / Organization / Grant</w:t>
            </w:r>
          </w:p>
        </w:tc>
        <w:tc>
          <w:tcPr>
            <w:tcW w:type="dxa" w:w="3024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Details &amp; Impact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8"/>
              </w:rPr>
              <w:t>October 2026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sz w:val="19"/>
              </w:rPr>
              <w:t>Advanced Quantum AI for Document Automation</w:t>
            </w:r>
          </w:p>
          <w:p>
            <w:r>
              <w:rPr>
                <w:sz w:val="17"/>
              </w:rPr>
              <w:t>By: Dr. John Smith, Dr. Alice Johnson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8"/>
              </w:rPr>
              <w:t>IEEE Transactions on Automation</w:t>
            </w:r>
          </w:p>
          <w:p>
            <w:r>
              <w:rPr>
                <w:sz w:val="17"/>
              </w:rPr>
              <w:t>Value: https://doi.org/10.1109/TA.2026.001</w:t>
            </w:r>
          </w:p>
          <w:p>
            <w:r>
              <w:rPr>
                <w:sz w:val="17"/>
              </w:rPr>
              <w:t>Impact: Impact Factor 8.5 / Scopus Q1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8"/>
              </w:rPr>
              <w:t>This paper presents a novel quantum architecture for normalizing dynamic newsletter components.</w:t>
            </w:r>
          </w:p>
          <w:p>
            <w:r>
              <w:rPr>
                <w:sz w:val="17"/>
              </w:rPr>
              <w:t>Link: https://drive.google.com/cert1.pdf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