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pBdr>
          <w:top w:val="single" w:sz="36" w:space="6" w:color="1F4E78"/>
          <w:bottom w:val="single" w:sz="12" w:space="4" w:color="1F4E78"/>
        </w:pBdr>
        <w:tabs>
          <w:tab w:pos="9029" w:val="right"/>
        </w:tabs>
        <w:spacing w:after="320"/>
      </w:pPr>
      <w:r>
        <w:rPr>
          <w:b/>
          <w:color w:val="1F4E78"/>
          <w:spacing w:val="30"/>
          <w:sz w:val="17"/>
        </w:rPr>
        <w:t>IT CHRONICLES · RESEARCH &amp; INNOVATION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rHeight w:val="420" w:hRule="atLeast"/>
        </w:trPr>
        <w:tc>
          <w:tcPr>
            <w:tcW w:type="dxa" w:w="9024"/>
            <w:gridSpan w:val="12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i w:val="0"/>
                <w:color w:val="FFFFFF"/>
                <w:sz w:val="16"/>
                <w:shd w:val="clear" w:color="auto" w:fill="1F4E78"/>
              </w:rPr>
              <w:t xml:space="preserve">  IMPACT FACTOR 8.5 / SCOPUS Q1  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288" w:lineRule="auto" w:after="0"/>
              <w:jc w:val="left"/>
            </w:pPr>
            <w:r>
              <w:rPr>
                <w:b/>
                <w:i w:val="0"/>
                <w:color w:val="1F4E78"/>
                <w:sz w:val="34"/>
              </w:rPr>
              <w:t>Advanced Quantum AI for Document Automation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i w:val="0"/>
                <w:color w:val="475569"/>
                <w:sz w:val="21"/>
              </w:rPr>
              <w:t>By Dr. John Smith, Dr. Alice Johnson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</w:pP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360" w:lineRule="auto" w:after="0"/>
              <w:jc w:val="left"/>
            </w:pPr>
            <w:r>
              <w:rPr>
                <w:b w:val="0"/>
                <w:i w:val="0"/>
                <w:color w:val="334155"/>
                <w:sz w:val="21"/>
              </w:rPr>
              <w:t>This paper presents a novel quantum architecture for normalizing dynamic newsletter components.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hyperlink r:id="rId9">
              <w:r>
                <w:rPr>
                  <w:b/>
                  <w:color w:val="FFFFFF"/>
                  <w:sz w:val="19"/>
                  <w:shd w:val="clear" w:color="auto" w:fill="1F4E78"/>
                </w:rPr>
                <w:t xml:space="preserve">   View details   </w:t>
              </w:r>
            </w:hyperlink>
          </w:p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</w:tbl>
    <w:p>
      <w:pPr>
        <w:pBdr>
          <w:bottom w:val="single" w:sz="6" w:space="1" w:color="D9DEE4"/>
        </w:pBdr>
        <w:spacing w:before="20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288" w:lineRule="auto" w:after="0"/>
              <w:jc w:val="left"/>
            </w:pPr>
            <w:r>
              <w:rPr>
                <w:b/>
                <w:i w:val="0"/>
                <w:color w:val="1F4E78"/>
                <w:sz w:val="34"/>
              </w:rPr>
              <w:t>Test - 1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i w:val="0"/>
                <w:color w:val="475569"/>
                <w:sz w:val="21"/>
              </w:rPr>
              <w:t>By Mahadhevan, Mahadhevan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360" w:lineRule="auto" w:after="0"/>
              <w:jc w:val="left"/>
            </w:pPr>
            <w:r>
              <w:rPr>
                <w:b w:val="0"/>
                <w:i w:val="0"/>
                <w:color w:val="334155"/>
                <w:sz w:val="21"/>
              </w:rPr>
              <w:t>Nothing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</w:tbl>
    <w:p>
      <w:pPr>
        <w:pBdr>
          <w:bottom w:val="single" w:sz="6" w:space="1" w:color="D9DEE4"/>
        </w:pBdr>
        <w:spacing w:before="20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288" w:lineRule="auto" w:after="0"/>
              <w:jc w:val="left"/>
            </w:pPr>
            <w:r>
              <w:rPr>
                <w:b/>
                <w:i w:val="0"/>
                <w:color w:val="1F4E78"/>
                <w:sz w:val="34"/>
              </w:rPr>
              <w:t>Distributed Deep Learning Models for Natural Language Generation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i w:val="0"/>
                <w:color w:val="475569"/>
                <w:sz w:val="21"/>
              </w:rPr>
              <w:t>By Dr. John Smith, Dr. Sarah Jenkins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</w:pP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360" w:lineRule="auto" w:after="0"/>
              <w:jc w:val="left"/>
            </w:pPr>
            <w:r>
              <w:rPr>
                <w:b w:val="0"/>
                <w:i w:val="0"/>
                <w:color w:val="334155"/>
                <w:sz w:val="21"/>
              </w:rPr>
              <w:t>Presents a novel gradient compression algorithm for multi-node deep learning clusters reducing inter-node communication latency by 45%.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hyperlink r:id="rId10">
              <w:r>
                <w:rPr>
                  <w:b/>
                  <w:color w:val="FFFFFF"/>
                  <w:sz w:val="19"/>
                  <w:shd w:val="clear" w:color="auto" w:fill="1F4E78"/>
                </w:rPr>
                <w:t xml:space="preserve">   View details   </w:t>
              </w:r>
            </w:hyperlink>
          </w:p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</w:tbl>
    <w:p>
      <w:pPr>
        <w:pBdr>
          <w:bottom w:val="single" w:sz="6" w:space="1" w:color="D9DEE4"/>
        </w:pBdr>
        <w:spacing w:before="200" w:after="20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  <w:gridCol w:w="752"/>
      </w:tblGrid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288" w:lineRule="auto" w:after="0"/>
              <w:jc w:val="left"/>
            </w:pPr>
            <w:r>
              <w:rPr>
                <w:b/>
                <w:i w:val="0"/>
                <w:color w:val="1F4E78"/>
                <w:sz w:val="34"/>
              </w:rPr>
              <w:t>AI-Powered Smart Grid Monitoring &amp; Anomaly Detection System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i w:val="0"/>
                <w:color w:val="475569"/>
                <w:sz w:val="21"/>
              </w:rPr>
              <w:t>By Dr. S. Kulkarni (PI), Prof. R. Varma (Co-PI)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line="360" w:lineRule="auto" w:after="0"/>
              <w:jc w:val="left"/>
            </w:pPr>
            <w:r>
              <w:rPr>
                <w:b w:val="0"/>
                <w:i w:val="0"/>
                <w:color w:val="334155"/>
                <w:sz w:val="21"/>
              </w:rPr>
              <w:t>Sanctioned 3-year research project focused on deploying IoT sensors and edge computing models to detect electrical network grid faults in real time.</w:t>
            </w:r>
          </w:p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9024"/>
            <w:gridSpan w:val="12"/>
            <w:vMerge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 w:val="restart"/>
            <w:tcMar>
              <w:top w:w="20" w:type="dxa"/>
              <w:left w:w="60" w:type="dxa"/>
              <w:bottom w:w="20" w:type="dxa"/>
              <w:right w:w="60" w:type="dxa"/>
            </w:tcMar>
            <w:vAlign w:val="top"/>
          </w:tcPr>
          <w:p>
            <w:pPr>
              <w:spacing w:after="0"/>
              <w:jc w:val="left"/>
            </w:pPr>
            <w:hyperlink r:id="rId11">
              <w:r>
                <w:rPr>
                  <w:b/>
                  <w:color w:val="FFFFFF"/>
                  <w:sz w:val="19"/>
                  <w:shd w:val="clear" w:color="auto" w:fill="1F4E78"/>
                </w:rPr>
                <w:t xml:space="preserve">   View details   </w:t>
              </w:r>
            </w:hyperlink>
          </w:p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  <w:tr>
        <w:trPr>
          <w:trHeight w:val="420" w:hRule="atLeast"/>
        </w:trPr>
        <w:tc>
          <w:tcPr>
            <w:tcW w:type="dxa" w:w="4512"/>
            <w:gridSpan w:val="6"/>
            <w:vMerge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  <w:tc>
          <w:tcPr>
            <w:tcW w:type="dxa" w:w="752"/>
          </w:tcPr>
          <w:p/>
        </w:tc>
      </w:tr>
    </w:tbl>
    <w:sectPr w:rsidR="00FC693F" w:rsidRPr="0006063C" w:rsidSect="00034616"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cert1.pdf" TargetMode="External"/><Relationship Id="rId10" Type="http://schemas.openxmlformats.org/officeDocument/2006/relationships/hyperlink" Target="https://doi.org/10.1109/TNNLS.2026.109283" TargetMode="External"/><Relationship Id="rId11" Type="http://schemas.openxmlformats.org/officeDocument/2006/relationships/hyperlink" Target="https://drive.google.com/grant_let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