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b4f72"/>
          <w:sz w:val="44"/>
          <w:szCs w:val="44"/>
          <w:rtl w:val="0"/>
        </w:rPr>
        <w:t xml:space="preserve">TMC Satori</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color w:val="2e86c1"/>
          <w:sz w:val="26"/>
          <w:szCs w:val="26"/>
          <w:rtl w:val="0"/>
        </w:rPr>
        <w:t xml:space="preserve">Platform 7 | TMC Capability Intelligence Engine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Use Case Inventory</w:t>
      </w:r>
    </w:p>
    <w:tbl>
      <w:tblPr>
        <w:tblStyle w:val="Table1"/>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9"/>
        <w:gridCol w:w="1669"/>
        <w:gridCol w:w="6415"/>
        <w:gridCol w:w="1265"/>
        <w:tblGridChange w:id="0">
          <w:tblGrid>
            <w:gridCol w:w="729"/>
            <w:gridCol w:w="1669"/>
            <w:gridCol w:w="6415"/>
            <w:gridCol w:w="12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b w:val="1"/>
                <w:bCs w:val="1"/>
                <w:color w:val="ffffff"/>
                <w:sz w:val="20"/>
                <w:szCs w:val="20"/>
                <w:rtl w:val="0"/>
              </w:rPr>
              <w:t xml:space="preserve">Use 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sz w:val="20"/>
                <w:szCs w:val="20"/>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sz w:val="20"/>
                <w:szCs w:val="20"/>
                <w:rtl w:val="0"/>
              </w:rPr>
              <w:t xml:space="preserve">Project Staffing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Ranked consultant matching engine for project staffing. Synthesizes skill proficiency, AIQ belt level, availability, and schedule constraints to produce a ranked shortlist for Delivery Heads.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sz w:val="20"/>
                <w:szCs w:val="20"/>
                <w:rtl w:val="0"/>
              </w:rPr>
              <w:t xml:space="preserve">30/60/90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b w:val="1"/>
                <w:bCs w:val="1"/>
                <w:sz w:val="20"/>
                <w:szCs w:val="20"/>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Optimal Team Mix &amp; Delivery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sz w:val="20"/>
                <w:szCs w:val="20"/>
                <w:rtl w:val="0"/>
              </w:rPr>
              <w:t xml:space="preserve">Delivery confidence simulation engine that models team composition scenarios. Compares best-delivery vs. balanced-utilization team options with scored confidence levels. Outputs: team recommendation cards, delivery risk flags, COO approval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20"/>
                <w:szCs w:val="20"/>
                <w:rtl w:val="0"/>
              </w:rPr>
              <w:t xml:space="preserve">60-day model / 90-day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sz w:val="20"/>
                <w:szCs w:val="20"/>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20"/>
                <w:szCs w:val="20"/>
                <w:rtl w:val="0"/>
              </w:rPr>
              <w:t xml:space="preserve">Utilization &amp; Capacity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rPr/>
            </w:pPr>
            <w:sdt>
              <w:sdtPr>
                <w:id w:val="770324262"/>
                <w:tag w:val="goog_rdk_0"/>
              </w:sdtPr>
              <w:sdtContent>
                <w:r w:rsidDel="00000000" w:rsidR="00000000" w:rsidRPr="00000000">
                  <w:rPr>
                    <w:rFonts w:ascii="Cardo" w:cs="Cardo" w:eastAsia="Cardo" w:hAnsi="Cardo"/>
                    <w:sz w:val="20"/>
                    <w:szCs w:val="20"/>
                    <w:rtl w:val="0"/>
                  </w:rPr>
                  <w:t xml:space="preserve">Real-time utilization tracking with bench alerts and redeployment triggers. Monitors billable vs. non-billable hours per consultant, generates 4-week forward capacity forecasts, and triggers automated alerts for utilization exceptions. Drill-down: Practice → Team → Person.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30-day baseline / 60-day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Capability Gap Analysis &amp; Forecasting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90-day pipeline skill-demand forecast vs. internal capability matrix. Identifies skill gaps before they impact delivery, generates upskilling recommendations for HR, and provides COO with forward-looking talent supply/demand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60-day forecast / 90-day full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sz w:val="20"/>
                <w:szCs w:val="20"/>
                <w:rtl w:val="0"/>
              </w:rPr>
              <w:t xml:space="preserve">UC05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Delivery Exception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Weekly severity tracking and root-cause analysis for delivery exceptions. Automated escalation workflows with owner assignment, action tracking, and KPI impact scoring. Outputs: exception heatmaps, RCA reports, owner action logs, COO weekly digest.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60-day tracking / 90-day RCA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sz w:val="20"/>
                <w:szCs w:val="20"/>
                <w:rtl w:val="0"/>
              </w:rPr>
              <w:t xml:space="preserve">UC06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Practice Health &amp; Resource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Comprehensive practice health view aggregating attendance records, work package assignments, project allocations, billable/non-billable hours, overtime trends, and leave patterns per consultant. Provides Resource Managers and Practice Heads with a single-pane view of each employee’s workload, availability, and wellness indicators. Triggers proactive alerts for overallocation, excessive overtime, or attendance anomalies.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30-day baseline / 60-day full</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2. Data Sources — Primary (Layer A: Source Systems)</w:t>
      </w:r>
    </w:p>
    <w:p w:rsidR="00000000" w:rsidDel="00000000" w:rsidP="00000000" w:rsidRDefault="00000000" w:rsidRPr="00000000" w14:paraId="00000022">
      <w:pPr>
        <w:spacing w:after="120" w:lineRule="auto"/>
        <w:rPr/>
      </w:pPr>
      <w:r w:rsidDel="00000000" w:rsidR="00000000" w:rsidRPr="00000000">
        <w:rPr>
          <w:rtl w:val="0"/>
        </w:rPr>
      </w:r>
    </w:p>
    <w:tbl>
      <w:tblPr>
        <w:tblStyle w:val="Table2"/>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0"/>
        <w:gridCol w:w="1554"/>
        <w:gridCol w:w="3183"/>
        <w:gridCol w:w="3821"/>
        <w:tblGridChange w:id="0">
          <w:tblGrid>
            <w:gridCol w:w="1520"/>
            <w:gridCol w:w="1554"/>
            <w:gridCol w:w="3183"/>
            <w:gridCol w:w="382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Source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Key Data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Used By (Use Case &amp;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1"/>
                <w:bCs w:val="1"/>
                <w:sz w:val="20"/>
                <w:szCs w:val="20"/>
                <w:rtl w:val="0"/>
              </w:rPr>
              <w:t xml:space="preserve">ESS (Employee Self-Service)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Skills &amp; attrition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Employee ID, name, department, designation, tenure, skill tags, attrition status, exit date, exit 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UC01 (consultant skill profiles), UC03 (attrition-driven capacity), UC04 (internal capability matrix), UC06 (employee profile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sz w:val="20"/>
                <w:szCs w:val="20"/>
                <w:rtl w:val="0"/>
              </w:rPr>
              <w:t xml:space="preserve">Odoo HR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Employee master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Employee ID, reporting manager, contract type, probation status, department, practice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sz w:val="20"/>
                <w:szCs w:val="20"/>
                <w:rtl w:val="0"/>
              </w:rPr>
              <w:t xml:space="preserve">UC01 (consultant availability context), UC03 (team drill-down), UC05 (owner assignment for exceptions), UC06 (employee master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sz w:val="20"/>
                <w:szCs w:val="20"/>
                <w:rtl w:val="0"/>
              </w:rPr>
              <w:t xml:space="preserve">Odoo Timesheet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sz w:val="20"/>
                <w:szCs w:val="20"/>
                <w:rtl w:val="0"/>
              </w:rPr>
              <w:t xml:space="preserve">Work hours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sz w:val="20"/>
                <w:szCs w:val="20"/>
                <w:rtl w:val="0"/>
              </w:rPr>
              <w:t xml:space="preserve">Hours logged per project/task, billable vs. non-billable classification, overtime trends, daily attendance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sz w:val="20"/>
                <w:szCs w:val="20"/>
                <w:rtl w:val="0"/>
              </w:rPr>
              <w:t xml:space="preserve">UC03 (utilization calculation, billable ratio), UC05 (delivery hours variance), UC06 (hours tracking, overtime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1"/>
                <w:bCs w:val="1"/>
                <w:sz w:val="20"/>
                <w:szCs w:val="20"/>
                <w:rtl w:val="0"/>
              </w:rPr>
              <w:t xml:space="preserve">Odoo Project / 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sz w:val="20"/>
                <w:szCs w:val="20"/>
                <w:rtl w:val="0"/>
              </w:rPr>
              <w:t xml:space="preserve">Delivery &amp; work packages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sz w:val="20"/>
                <w:szCs w:val="20"/>
                <w:rtl w:val="0"/>
              </w:rPr>
              <w:t xml:space="preserve">Project ID, task assignments, milestone dates, completion %, estimated vs. actual hours, task dependencies, work package allocation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sz w:val="20"/>
                <w:szCs w:val="20"/>
                <w:rtl w:val="0"/>
              </w:rPr>
              <w:t xml:space="preserve">UC01 (project demand context), UC02 (delivery confidence inputs), UC05 (exception detection from milestone slippage), UC06 (work package assignments, allocation 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sz w:val="20"/>
                <w:szCs w:val="20"/>
                <w:rtl w:val="0"/>
              </w:rPr>
              <w:t xml:space="preserve">Odoo Attendance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sz w:val="20"/>
                <w:szCs w:val="20"/>
                <w:rtl w:val="0"/>
              </w:rPr>
              <w:t xml:space="preserve">Check-in/check-out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Daily attendance logs, timestamps, late arrivals, reduced hours, consecutive short days, absence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UC03 (attendance-driven capacity adjustments), UC06 (attendance tracking, anomaly detection, wellness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1"/>
                <w:bCs w:val="1"/>
                <w:sz w:val="20"/>
                <w:szCs w:val="20"/>
                <w:rtl w:val="0"/>
              </w:rPr>
              <w:t xml:space="preserve">AIQ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Belt scores &amp; AI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AIQ score per consultant, belt level (White to Black), assessment dates, tool adoption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UC01 (ranking factor for staffing), UC04 (capability enrichment for gap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sz w:val="20"/>
                <w:szCs w:val="20"/>
                <w:rtl w:val="0"/>
              </w:rPr>
              <w:t xml:space="preserve">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Collaboration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Document co-authoring frequency, email response times, calendar utilization, cross-team collaboration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UC02 (team collaboration scoring), UC03 (non-billable time classification)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Qlik Sense On-Prem (Legacy)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Historical reporting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QVD files: historical utilization, project performance, practice benchmarks, legacy KPI baselines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UC03 (historical utilization baselines), UC04 (trend analysis for gap forecasting)</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Data Sources — Supporting (Layers B–E)</w:t>
      </w:r>
    </w:p>
    <w:p w:rsidR="00000000" w:rsidDel="00000000" w:rsidP="00000000" w:rsidRDefault="00000000" w:rsidRPr="00000000" w14:paraId="00000049">
      <w:pPr>
        <w:spacing w:after="120" w:lineRule="auto"/>
        <w:rPr/>
      </w:pPr>
      <w:r w:rsidDel="00000000" w:rsidR="00000000" w:rsidRPr="00000000">
        <w:rPr>
          <w:sz w:val="21"/>
          <w:szCs w:val="21"/>
          <w:rtl w:val="0"/>
        </w:rPr>
        <w:t xml:space="preserve">These platforms support the primary source systems with AI/ML capabilities, analytics infrastructure, visualization, alerting, and knowledge management.</w:t>
      </w:r>
      <w:r w:rsidDel="00000000" w:rsidR="00000000" w:rsidRPr="00000000">
        <w:rPr>
          <w:rtl w:val="0"/>
        </w:rPr>
      </w:r>
    </w:p>
    <w:tbl>
      <w:tblPr>
        <w:tblStyle w:val="Table3"/>
        <w:tblW w:w="100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3"/>
        <w:gridCol w:w="1412"/>
        <w:gridCol w:w="4179"/>
        <w:gridCol w:w="3104"/>
        <w:tblGridChange w:id="0">
          <w:tblGrid>
            <w:gridCol w:w="1383"/>
            <w:gridCol w:w="1412"/>
            <w:gridCol w:w="4179"/>
            <w:gridCol w:w="3104"/>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sz w:val="20"/>
                <w:szCs w:val="20"/>
                <w:rtl w:val="0"/>
              </w:rPr>
              <w:t xml:space="preserve">Source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Key Data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4f7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Used By (Use Case &amp; 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sz w:val="20"/>
                <w:szCs w:val="20"/>
                <w:rtl w:val="0"/>
              </w:rPr>
              <w:t xml:space="preserve">BigQuery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20"/>
                <w:szCs w:val="20"/>
                <w:rtl w:val="0"/>
              </w:rPr>
              <w:t xml:space="preserve">Analytics data 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20"/>
                <w:szCs w:val="20"/>
                <w:rtl w:val="0"/>
              </w:rPr>
              <w:t xml:space="preserve">All 14 canonical entities (Consultant, Skill, Proficiency, Certification, Project, Milestone, Allocation, Timesheet, Task, Attendance, AIQ Score, Practice, Team, Time Off), ETL outputs, calculated KPIs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All use cases (central analytical layer; daily ETL from all source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sz w:val="20"/>
                <w:szCs w:val="20"/>
                <w:rtl w:val="0"/>
              </w:rPr>
              <w:t xml:space="preserve">Vertex AI / Vertex AI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20"/>
                <w:szCs w:val="20"/>
                <w:rtl w:val="0"/>
              </w:rPr>
              <w:t xml:space="preserve">AI &amp; ML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20"/>
                <w:szCs w:val="20"/>
                <w:rtl w:val="0"/>
              </w:rPr>
              <w:t xml:space="preserve">Attrition risk prediction model, delivery confidence scoring model, skill-demand forecasting, NL query embeddings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20"/>
                <w:szCs w:val="20"/>
                <w:rtl w:val="0"/>
              </w:rPr>
              <w:t xml:space="preserve">UC02 (delivery confidence simulation), UC04 (attrition risk + gap forecasting), UC05 (predictive exception alerts)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sz w:val="20"/>
                <w:szCs w:val="20"/>
                <w:rtl w:val="0"/>
              </w:rPr>
              <w:t xml:space="preserve">Cortex NL (LLM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20"/>
                <w:szCs w:val="20"/>
                <w:rtl w:val="0"/>
              </w:rPr>
              <w:t xml:space="preserve">Natural language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20"/>
                <w:szCs w:val="20"/>
                <w:rtl w:val="0"/>
              </w:rPr>
              <w:t xml:space="preserve">NL query parsing, intent classification, response generation from BigQuery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20"/>
                <w:szCs w:val="20"/>
                <w:rtl w:val="0"/>
              </w:rPr>
              <w:t xml:space="preserve">All use cases (natural language querying for COO, Practice Heads, Resource Managers)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sz w:val="20"/>
                <w:szCs w:val="20"/>
                <w:rtl w:val="0"/>
              </w:rPr>
              <w:t xml:space="preserve">Looker / Qlik Sense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20"/>
                <w:szCs w:val="20"/>
                <w:rtl w:val="0"/>
              </w:rPr>
              <w:t xml:space="preserve">Dashboard &amp; reporting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20"/>
                <w:szCs w:val="20"/>
                <w:rtl w:val="0"/>
              </w:rPr>
              <w:t xml:space="preserve">Practice Health Dashboard (4 views), MD Intelligence Dashboard, Leadership Digests, Employee Health cards, embedded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20"/>
                <w:szCs w:val="20"/>
                <w:rtl w:val="0"/>
              </w:rPr>
              <w:t xml:space="preserve">All use cases (visualization and delivery layer for all intelligence outputs)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b w:val="1"/>
                <w:bCs w:val="1"/>
                <w:sz w:val="20"/>
                <w:szCs w:val="20"/>
                <w:rtl w:val="0"/>
              </w:rPr>
              <w:t xml:space="preserve">Google Chat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20"/>
                <w:szCs w:val="20"/>
                <w:rtl w:val="0"/>
              </w:rPr>
              <w:t xml:space="preserve">Alert &amp; notification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20"/>
                <w:szCs w:val="20"/>
                <w:rtl w:val="0"/>
              </w:rPr>
              <w:t xml:space="preserve">Automated staffing trigger alerts, utilization exception notifications, delivery risk escalations, overallocation warnings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20"/>
                <w:szCs w:val="20"/>
                <w:rtl w:val="0"/>
              </w:rPr>
              <w:t xml:space="preserve">UC01 (staffing alerts), UC03 (utilization exceptions), UC05 (delivery escalations), UC06 (overallocation &amp; attendance alerts)</w:t>
            </w:r>
            <w:r w:rsidDel="00000000" w:rsidR="00000000" w:rsidRPr="00000000">
              <w:rPr>
                <w:rtl w:val="0"/>
              </w:rPr>
            </w:r>
          </w:p>
        </w:tc>
      </w:tr>
    </w:tbl>
    <w:p w:rsidR="00000000" w:rsidDel="00000000" w:rsidP="00000000" w:rsidRDefault="00000000" w:rsidRPr="00000000" w14:paraId="00000062">
      <w:pPr>
        <w:pStyle w:val="Heading1"/>
        <w:rPr/>
      </w:pPr>
      <w:r w:rsidDel="00000000" w:rsidR="00000000" w:rsidRPr="00000000">
        <w:rPr>
          <w:rtl w:val="0"/>
        </w:rPr>
        <w:t xml:space="preserve">4. Data Flow Summary</w:t>
      </w:r>
    </w:p>
    <w:p w:rsidR="00000000" w:rsidDel="00000000" w:rsidP="00000000" w:rsidRDefault="00000000" w:rsidRPr="00000000" w14:paraId="00000063">
      <w:pPr>
        <w:spacing w:after="120" w:lineRule="auto"/>
        <w:rPr/>
      </w:pPr>
      <w:r w:rsidDel="00000000" w:rsidR="00000000" w:rsidRPr="00000000">
        <w:rPr>
          <w:sz w:val="21"/>
          <w:szCs w:val="21"/>
          <w:rtl w:val="0"/>
        </w:rPr>
        <w:t xml:space="preserve">At a high level, data flows through three layers across all Satori use cases:</w:t>
      </w:r>
      <w:r w:rsidDel="00000000" w:rsidR="00000000" w:rsidRPr="00000000">
        <w:rPr>
          <w:rtl w:val="0"/>
        </w:rPr>
      </w:r>
    </w:p>
    <w:p w:rsidR="00000000" w:rsidDel="00000000" w:rsidP="00000000" w:rsidRDefault="00000000" w:rsidRPr="00000000" w14:paraId="00000064">
      <w:pPr>
        <w:spacing w:after="100" w:lineRule="auto"/>
        <w:rPr/>
      </w:pPr>
      <w:r w:rsidDel="00000000" w:rsidR="00000000" w:rsidRPr="00000000">
        <w:rPr>
          <w:b w:val="1"/>
          <w:bCs w:val="1"/>
          <w:sz w:val="21"/>
          <w:szCs w:val="21"/>
          <w:rtl w:val="0"/>
        </w:rPr>
        <w:t xml:space="preserve">Collect: </w:t>
      </w:r>
      <w:r w:rsidDel="00000000" w:rsidR="00000000" w:rsidRPr="00000000">
        <w:rPr>
          <w:sz w:val="21"/>
          <w:szCs w:val="21"/>
          <w:rtl w:val="0"/>
        </w:rPr>
        <w:t xml:space="preserve">Source systems (ESS, Odoo HR/Timesheet/Project/Attendance/Time Off/Allocation, AIQ, Google Workspace, Qlik Sense) serve as primary data sources. Data is extracted via daily ETL pipelines to BigQuery through GCS. The canonical data model comprises 14 core entities: Consultant, Skill, Proficiency, Certification, Project, Milestone, Allocation, Timesheet, Task, Attendance, AIQ Score, Practice, Team, and Time Off.</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b w:val="1"/>
          <w:bCs w:val="1"/>
          <w:sz w:val="21"/>
          <w:szCs w:val="21"/>
          <w:rtl w:val="0"/>
        </w:rPr>
        <w:t xml:space="preserve">Analyze: </w:t>
      </w:r>
      <w:r w:rsidDel="00000000" w:rsidR="00000000" w:rsidRPr="00000000">
        <w:rPr>
          <w:sz w:val="21"/>
          <w:szCs w:val="21"/>
          <w:rtl w:val="0"/>
        </w:rPr>
        <w:t xml:space="preserve">Vertex AI handles attrition risk prediction, delivery confidence simulation, and skill-demand forecasting (Layer C: Analytical Engine). BigQuery serves as the central analytical warehouse for utilization calculations, productivity benchmarking, employee health scoring, and KPI computation. Cortex NL provides natural language querying against the data layer (Layer D: Decision Layer).</w:t>
      </w:r>
      <w:r w:rsidDel="00000000" w:rsidR="00000000" w:rsidRPr="00000000">
        <w:rPr>
          <w:rtl w:val="0"/>
        </w:rPr>
      </w:r>
    </w:p>
    <w:p w:rsidR="00000000" w:rsidDel="00000000" w:rsidP="00000000" w:rsidRDefault="00000000" w:rsidRPr="00000000" w14:paraId="00000066">
      <w:pPr>
        <w:spacing w:after="100" w:lineRule="auto"/>
        <w:rPr/>
      </w:pPr>
      <w:r w:rsidDel="00000000" w:rsidR="00000000" w:rsidRPr="00000000">
        <w:rPr>
          <w:b w:val="1"/>
          <w:bCs w:val="1"/>
          <w:sz w:val="21"/>
          <w:szCs w:val="21"/>
          <w:rtl w:val="0"/>
        </w:rPr>
        <w:t xml:space="preserve">Deliver: </w:t>
      </w:r>
      <w:r w:rsidDel="00000000" w:rsidR="00000000" w:rsidRPr="00000000">
        <w:rPr>
          <w:sz w:val="21"/>
          <w:szCs w:val="21"/>
          <w:rtl w:val="0"/>
        </w:rPr>
        <w:t xml:space="preserve">Results surface via the Practice Health Dashboard on Qlik Sense/Looker (4 views: Utilization &amp; Capacity, People &amp; Talent, Pipeline &amp; Growth, Forward Capacity), Employee Health cards per consultant, the Story Portal MD Intelligence Dashboard, daily Leadership Digests to senior management, and real-time Google Chat alerts for staffing triggers, utilization exceptions, overallocation warnings, and delivery risk escalations (Layer E: Workflow Layer with human-in-the-loop approvals and overrides).</w:t>
      </w: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pPr>
    <w:r w:rsidDel="00000000" w:rsidR="00000000" w:rsidRPr="00000000">
      <w:rPr>
        <w:color w:val="999999"/>
        <w:sz w:val="18"/>
        <w:szCs w:val="18"/>
        <w:rtl w:val="0"/>
      </w:rPr>
      <w:t xml:space="preserve">Page </w:t>
    </w:r>
    <w:r w:rsidDel="00000000" w:rsidR="00000000" w:rsidRPr="00000000">
      <w:rPr>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right"/>
      <w:rPr/>
    </w:pPr>
    <w:r w:rsidDel="00000000" w:rsidR="00000000" w:rsidRPr="00000000">
      <w:rPr>
        <w:i w:val="1"/>
        <w:iCs w:val="1"/>
        <w:color w:val="999999"/>
        <w:sz w:val="18"/>
        <w:szCs w:val="18"/>
        <w:rtl w:val="0"/>
      </w:rPr>
      <w:t xml:space="preserve">TMC Satori Platform | Data Requirements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Times New Roman" w:cs="Times New Roman" w:eastAsia="Times New Roman" w:hAnsi="Times New Roman"/>
      <w:b w:val="1"/>
      <w:bCs w:val="1"/>
      <w:i w:val="0"/>
      <w:iCs w:val="0"/>
      <w:smallCaps w:val="0"/>
      <w:strike w:val="0"/>
      <w:color w:val="1b4f72"/>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XaDuuXkJQLB/FG0WQxE3CbuCw==">CgMxLjAaEgoBMBINCgsIB0IHEgVDYXJkbzgAciExOUs4ak14U0VHQXhMUkl6cFRrTzA2aWN3MVlOVjBKdEc=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