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7B11A">
      <w:pPr>
        <w:pStyle w:val="35"/>
        <w:spacing w:after="160"/>
      </w:pPr>
      <w:r>
        <w:t>Concept et plan de mise en œuvre du projet</w:t>
      </w:r>
    </w:p>
    <w:p w14:paraId="28B23CFD"/>
    <w:p w14:paraId="58DA8A34">
      <w:pPr>
        <w:pStyle w:val="2"/>
        <w:spacing w:after="160"/>
      </w:pPr>
      <w:r>
        <w:t>Titre</w:t>
      </w:r>
    </w:p>
    <w:p w14:paraId="52F4D3FE">
      <w:pPr>
        <w:spacing w:after="160"/>
      </w:pPr>
      <w:r>
        <w:t>IA et Digitalisation des Prescriptions Médicales pour une Meilleure Gestion des Médicaments à Djibouti</w:t>
      </w:r>
    </w:p>
    <w:p w14:paraId="15758EB8">
      <w:pPr>
        <w:pStyle w:val="2"/>
        <w:spacing w:after="160"/>
      </w:pPr>
      <w:r>
        <w:t>Membres de l’équipe</w:t>
      </w:r>
    </w:p>
    <w:p w14:paraId="59F0DB58">
      <w:pPr>
        <w:spacing w:after="160"/>
      </w:pPr>
      <w:r>
        <w:t>- Loula Sahal Ali</w:t>
      </w:r>
      <w:r>
        <w:br w:type="textWrapping"/>
      </w:r>
      <w:r>
        <w:t>- Mahado Mohamed Moussa</w:t>
      </w:r>
      <w:r>
        <w:br w:type="textWrapping"/>
      </w:r>
      <w:r>
        <w:t>- Doualeh Mohamed Moussa</w:t>
      </w:r>
    </w:p>
    <w:p w14:paraId="081BA925">
      <w:pPr>
        <w:pStyle w:val="2"/>
        <w:spacing w:after="160"/>
      </w:pPr>
      <w:r>
        <w:t>Note de concept</w:t>
      </w:r>
    </w:p>
    <w:p w14:paraId="2834B2AE">
      <w:pPr>
        <w:pStyle w:val="3"/>
        <w:spacing w:after="160"/>
      </w:pPr>
      <w:r>
        <w:t>1. Vue d'ensemble du projet</w:t>
      </w:r>
    </w:p>
    <w:p w14:paraId="08B78692">
      <w:pPr>
        <w:spacing w:after="160"/>
      </w:pPr>
      <w:r>
        <w:t>Ce projet vise à transformer la gestion des prescriptions médicales à Djibouti à travers l’intégration de l’intelligence artificielle (IA) et de la digitalisation des ordonnances.</w:t>
      </w:r>
    </w:p>
    <w:p w14:paraId="03B23BDA">
      <w:pPr>
        <w:pStyle w:val="3"/>
        <w:spacing w:after="160"/>
      </w:pPr>
      <w:r>
        <w:t>2. Objectifs</w:t>
      </w:r>
    </w:p>
    <w:p w14:paraId="67AEBF22">
      <w:pPr>
        <w:spacing w:after="160"/>
      </w:pPr>
      <w:r>
        <w:t>- Digitaliser 100 % des prescriptions dans les hôpitaux publics ciblés.</w:t>
      </w:r>
      <w:r>
        <w:br w:type="textWrapping"/>
      </w:r>
      <w:r>
        <w:t>- Connecter toutes les pharmacies et établissements à une base de données centralisée.</w:t>
      </w:r>
      <w:r>
        <w:br w:type="textWrapping"/>
      </w:r>
      <w:r>
        <w:t>- Prévoir la demande en médicaments grâce à l’IA.</w:t>
      </w:r>
      <w:r>
        <w:br w:type="textWrapping"/>
      </w:r>
      <w:r>
        <w:t>- Réduire les pénuries et les gaspillages de médicaments de 30 % dès la première année.</w:t>
      </w:r>
    </w:p>
    <w:p w14:paraId="35E76A3F">
      <w:pPr>
        <w:pStyle w:val="3"/>
        <w:spacing w:after="160"/>
      </w:pPr>
      <w:r>
        <w:t>3. Contexte</w:t>
      </w:r>
    </w:p>
    <w:p w14:paraId="09E3C623">
      <w:pPr>
        <w:spacing w:after="160"/>
      </w:pPr>
      <w:r>
        <w:t>Djibouti fait face à des défis structurels dans son système de santé, notamment liés aux prescriptions papier et au manque de coordination.</w:t>
      </w:r>
    </w:p>
    <w:p w14:paraId="0234D8A0">
      <w:pPr>
        <w:pStyle w:val="3"/>
        <w:spacing w:after="160"/>
      </w:pPr>
      <w:r>
        <w:t>4. Méthodologie</w:t>
      </w:r>
    </w:p>
    <w:p w14:paraId="40673689">
      <w:pPr>
        <w:spacing w:after="160"/>
      </w:pPr>
      <w:r>
        <w:t>Le projet utilise des techniques d’apprentissage automatique, appliquées à deux bases de données.</w:t>
      </w:r>
    </w:p>
    <w:p w14:paraId="52A3F964">
      <w:pPr>
        <w:pStyle w:val="3"/>
        <w:spacing w:after="160"/>
      </w:pPr>
      <w:r>
        <w:t>5. Diagramme de conception architecturale</w:t>
      </w:r>
    </w:p>
    <w:p w14:paraId="0FF3FDA6">
      <w:pPr>
        <w:pStyle w:val="2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81395" cy="1891665"/>
            <wp:effectExtent l="0" t="0" r="1905" b="635"/>
            <wp:docPr id="2" name="Imag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508DBB">
      <w:pPr>
        <w:pStyle w:val="3"/>
        <w:spacing w:after="160"/>
      </w:pPr>
      <w:r>
        <w:t>6. Sources de données</w:t>
      </w:r>
    </w:p>
    <w:p w14:paraId="3D5A1554">
      <w:pPr>
        <w:spacing w:after="160"/>
      </w:pPr>
      <w:r>
        <w:t>- Medical Prescription Dataset (Kaggle - BokhNhl) : Données anonymisées sur les prescriptions.</w:t>
      </w:r>
      <w:r>
        <w:br w:type="textWrapping"/>
      </w:r>
      <w:r>
        <w:t>- Pharmaceutical Supply Chain Optimization (Kaggle - Mohammed Ashraf).</w:t>
      </w:r>
    </w:p>
    <w:p w14:paraId="43F0FB8D">
      <w:pPr>
        <w:pStyle w:val="3"/>
        <w:spacing w:after="160"/>
      </w:pPr>
      <w:r>
        <w:t>7. Revue de littérature</w:t>
      </w:r>
    </w:p>
    <w:p w14:paraId="06E77184">
      <w:pPr>
        <w:spacing w:after="160"/>
        <w:rPr>
          <w:rFonts w:hint="default"/>
        </w:rPr>
      </w:pPr>
      <w:bookmarkStart w:id="0" w:name="_GoBack"/>
      <w:bookmarkEnd w:id="0"/>
      <w:r>
        <w:rPr>
          <w:rFonts w:hint="default"/>
        </w:rPr>
        <w:t>La transition vers d'autres systèmes de prescription électronique sécurise la sécurité</w:t>
      </w:r>
    </w:p>
    <w:p w14:paraId="7A99C222">
      <w:pPr>
        <w:spacing w:after="160"/>
        <w:rPr>
          <w:rFonts w:hint="default"/>
        </w:rPr>
      </w:pPr>
      <w:r>
        <w:rPr>
          <w:rFonts w:hint="default"/>
        </w:rPr>
        <w:t>de la prestation de soins.De nombreuses infrastructures d'e-prescription robustes ont été</w:t>
      </w:r>
    </w:p>
    <w:p w14:paraId="37B692E5">
      <w:pPr>
        <w:spacing w:after="160"/>
        <w:rPr>
          <w:rFonts w:hint="default"/>
        </w:rPr>
      </w:pPr>
      <w:r>
        <w:rPr>
          <w:rFonts w:hint="default"/>
        </w:rPr>
        <w:t>repérées (Aldughayfiq &amp; ampali, 2021), en particulier au Canada où tout estsécurisé</w:t>
      </w:r>
    </w:p>
    <w:p w14:paraId="00ECDAC2">
      <w:pPr>
        <w:spacing w:after="160"/>
        <w:rPr>
          <w:rFonts w:hint="default"/>
        </w:rPr>
      </w:pPr>
      <w:r>
        <w:rPr>
          <w:rFonts w:hint="default"/>
        </w:rPr>
        <w:t>avecjustesse sur la plateforme centralisée. Farghali et Borycki (2024) affirment,du</w:t>
      </w:r>
    </w:p>
    <w:p w14:paraId="61F1615D">
      <w:pPr>
        <w:spacing w:after="160"/>
        <w:rPr>
          <w:rFonts w:hint="default"/>
        </w:rPr>
      </w:pPr>
      <w:r>
        <w:rPr>
          <w:rFonts w:hint="default"/>
        </w:rPr>
        <w:t>reste,quel'e-prescription simplifie les opérations des pharmacies de proximité, mais</w:t>
      </w:r>
    </w:p>
    <w:p w14:paraId="4D491852">
      <w:pPr>
        <w:spacing w:after="160"/>
        <w:rPr>
          <w:rFonts w:hint="default"/>
        </w:rPr>
      </w:pPr>
      <w:r>
        <w:rPr>
          <w:rFonts w:hint="default"/>
        </w:rPr>
        <w:t>alourditla charge cognititve des pharmaciens, notammenten rapport avec la gestion des</w:t>
      </w:r>
    </w:p>
    <w:p w14:paraId="346E3296">
      <w:pPr>
        <w:spacing w:after="160"/>
        <w:rPr>
          <w:rFonts w:hint="default"/>
        </w:rPr>
      </w:pPr>
      <w:r>
        <w:rPr>
          <w:rFonts w:hint="default"/>
        </w:rPr>
        <w:t>doublons, la correction des erreursde codagetlepilotaged une interface trop</w:t>
      </w:r>
    </w:p>
    <w:p w14:paraId="49AF783B">
      <w:pPr>
        <w:spacing w:after="160"/>
        <w:rPr>
          <w:rFonts w:hint="default"/>
        </w:rPr>
      </w:pPr>
      <w:r>
        <w:rPr>
          <w:rFonts w:hint="default"/>
        </w:rPr>
        <w:t>encombrée. Au Kenya et dans d'autres pays comme Oluoch et al. (2020), ils dressent un</w:t>
      </w:r>
    </w:p>
    <w:p w14:paraId="15BB18EC">
      <w:pPr>
        <w:spacing w:after="160"/>
        <w:rPr>
          <w:rFonts w:hint="default"/>
        </w:rPr>
      </w:pPr>
      <w:r>
        <w:rPr>
          <w:rFonts w:hint="default"/>
        </w:rPr>
        <w:t>long cortege defreins aladoption:formation absente auprès des acteurs de sante aux</w:t>
      </w:r>
    </w:p>
    <w:p w14:paraId="181DF60B">
      <w:pPr>
        <w:spacing w:after="160"/>
        <w:rPr>
          <w:rFonts w:hint="default"/>
        </w:rPr>
      </w:pPr>
      <w:r>
        <w:rPr>
          <w:rFonts w:hint="default"/>
        </w:rPr>
        <w:t>technologies numériques,faible couverture du réseau dans les zones rurales,résistance au</w:t>
      </w:r>
    </w:p>
    <w:p w14:paraId="4F3736FF">
      <w:pPr>
        <w:spacing w:after="160"/>
        <w:rPr>
          <w:rFonts w:hint="default"/>
        </w:rPr>
      </w:pPr>
      <w:r>
        <w:rPr>
          <w:rFonts w:hint="default"/>
        </w:rPr>
        <w:t>changement.L'Australian Commission (2024)précise quela clé delaréussite des projets</w:t>
      </w:r>
    </w:p>
    <w:p w14:paraId="36D86E5A">
      <w:pPr>
        <w:spacing w:after="160"/>
        <w:rPr>
          <w:rFonts w:hint="default"/>
        </w:rPr>
      </w:pPr>
      <w:r>
        <w:rPr>
          <w:rFonts w:hint="default"/>
        </w:rPr>
        <w:t>numériquessejoue au trésor lien entrelhôpital et</w:t>
      </w:r>
    </w:p>
    <w:p w14:paraId="56173348">
      <w:pPr>
        <w:spacing w:after="160"/>
        <w:rPr>
          <w:rFonts w:hint="default"/>
        </w:rPr>
      </w:pPr>
      <w:r>
        <w:rPr>
          <w:rFonts w:hint="default"/>
        </w:rPr>
        <w:t>les soins primaires au momenttrépident del transition d'uan parcours desoins,</w:t>
      </w:r>
    </w:p>
    <w:p w14:paraId="0EEF275E">
      <w:pPr>
        <w:spacing w:after="160"/>
      </w:pPr>
      <w:r>
        <w:rPr>
          <w:rFonts w:hint="default"/>
        </w:rPr>
        <w:t>déterminantpourfairereculer les ereurs médicamenteuses.</w:t>
      </w:r>
    </w:p>
    <w:p w14:paraId="07C5FE25">
      <w:pPr>
        <w:pStyle w:val="2"/>
        <w:spacing w:after="160"/>
      </w:pPr>
      <w:r>
        <w:t>Plan de mise en œuvre</w:t>
      </w:r>
    </w:p>
    <w:p w14:paraId="51B37F5F">
      <w:pPr>
        <w:pStyle w:val="3"/>
        <w:spacing w:after="160"/>
      </w:pPr>
      <w:r>
        <w:t>1. Technology Stack</w:t>
      </w:r>
    </w:p>
    <w:p w14:paraId="6E2A469C">
      <w:pPr>
        <w:spacing w:after="160"/>
      </w:pPr>
      <w:r>
        <w:t>- Langages : Python, JavaScript, SQL</w:t>
      </w:r>
      <w:r>
        <w:br w:type="textWrapping"/>
      </w:r>
      <w:r>
        <w:t>- Frameworks : Larvel/Filament/Django</w:t>
      </w:r>
    </w:p>
    <w:p w14:paraId="66E3CC79">
      <w:pPr>
        <w:pStyle w:val="3"/>
        <w:spacing w:after="160"/>
      </w:pPr>
      <w:r>
        <w:t>2. Chronologie</w:t>
      </w:r>
    </w:p>
    <w:p w14:paraId="7F7ED012">
      <w:pPr>
        <w:pStyle w:val="2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385435" cy="4765040"/>
            <wp:effectExtent l="0" t="0" r="12065" b="10160"/>
            <wp:docPr id="1" name="Image 1" descr="C:\Users\HP\OneDrive\Images\Captures d’écran\Capture d’écran (470).pngCapture d’écran (4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HP\OneDrive\Images\Captures d’écran\Capture d’écran (470).pngCapture d’écran (470)"/>
                    <pic:cNvPicPr>
                      <a:picLocks noChangeAspect="1"/>
                    </pic:cNvPicPr>
                  </pic:nvPicPr>
                  <pic:blipFill>
                    <a:blip r:embed="rId7"/>
                    <a:srcRect t="6750" b="6750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76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C2FE1E">
      <w:pPr>
        <w:pStyle w:val="3"/>
        <w:spacing w:after="160"/>
      </w:pPr>
      <w:r>
        <w:t>3. Étapes importantes</w:t>
      </w:r>
    </w:p>
    <w:p w14:paraId="599BA960">
      <w:pPr>
        <w:spacing w:after="160"/>
      </w:pPr>
      <w:r>
        <w:t>- Création de la base de données</w:t>
      </w:r>
      <w:r>
        <w:br w:type="textWrapping"/>
      </w:r>
      <w:r>
        <w:t>- Réalisation d’un prototype</w:t>
      </w:r>
      <w:r>
        <w:br w:type="textWrapping"/>
      </w:r>
      <w:r>
        <w:t>- Implémentation du modèle de prévision</w:t>
      </w:r>
    </w:p>
    <w:p w14:paraId="43BDB7F8">
      <w:pPr>
        <w:pStyle w:val="3"/>
        <w:spacing w:after="160"/>
      </w:pPr>
      <w:r>
        <w:t>4. Défis et atténuations</w:t>
      </w:r>
    </w:p>
    <w:p w14:paraId="604774BE">
      <w:pPr>
        <w:spacing w:after="160"/>
      </w:pPr>
      <w:r>
        <w:t>- Qualité des données : Nettoyage rigoureux</w:t>
      </w:r>
      <w:r>
        <w:br w:type="textWrapping"/>
      </w:r>
      <w:r>
        <w:t>- Adoption du système : Formation et accompagnement</w:t>
      </w:r>
      <w:r>
        <w:br w:type="textWrapping"/>
      </w:r>
      <w:r>
        <w:t>- Sécurité : Chiffrement, pseudonymisation</w:t>
      </w:r>
    </w:p>
    <w:p w14:paraId="30567A16">
      <w:pPr>
        <w:pStyle w:val="3"/>
        <w:spacing w:after="160"/>
      </w:pPr>
      <w:r>
        <w:t>5. Considérations éthiques</w:t>
      </w:r>
    </w:p>
    <w:p w14:paraId="00966866">
      <w:pPr>
        <w:spacing w:after="160"/>
      </w:pPr>
      <w:r>
        <w:t>Le projet respecte les principes de confidentialité, équité et responsabilité. Toutes les données sont anonymisées.</w:t>
      </w:r>
    </w:p>
    <w:p w14:paraId="4661A5D1">
      <w:pPr>
        <w:spacing w:after="160"/>
      </w:pPr>
    </w:p>
    <w:p w14:paraId="252FD2B2">
      <w:pPr>
        <w:pStyle w:val="2"/>
        <w:spacing w:after="160"/>
      </w:pPr>
      <w:r>
        <w:t>Références</w:t>
      </w:r>
    </w:p>
    <w:p w14:paraId="1C864454">
      <w:pPr>
        <w:spacing w:after="160"/>
      </w:pPr>
      <w:r>
        <w:t>Adekunle, J. J., Abdulwahab, D. A., Lawal, A. K., Ajiboye, E., &amp; Makanto, P. K. (2024). Big Data Analytics in Epidemiology. IRE Journals, 8(3), 531–535.</w:t>
      </w:r>
    </w:p>
    <w:p w14:paraId="7775B852">
      <w:pPr>
        <w:spacing w:after="160"/>
      </w:pPr>
      <w:r>
        <w:br w:type="textWrapping"/>
      </w:r>
      <w:r>
        <w:t>Aldughayfiq, B., &amp; Sampalli, S. (2020). Digital Health in Physicians’ and Pharmacists’ Offices: A Comparative Study of e-Prescription Systems’ Architecture and Digital Security in Eight Countries. OMICS: A Journal of Integrative Biology, 25(2), 102–122.</w:t>
      </w:r>
    </w:p>
    <w:p w14:paraId="36B2AEA3">
      <w:pPr>
        <w:spacing w:after="160"/>
      </w:pPr>
      <w:r>
        <w:br w:type="textWrapping"/>
      </w:r>
      <w:r>
        <w:t>Silva-Aravena, F., Ceballos-Fuentealba, I., &amp; Álvarez-Miranda, E. (2020). Inventory Management at a Chilean Hospital Pharmacy: Case Study of a Dynamic Decision-Aid Tool. Mathematics, 8(11), 1962.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24E7"/>
    <w:rsid w:val="002852CE"/>
    <w:rsid w:val="0029639D"/>
    <w:rsid w:val="00326F90"/>
    <w:rsid w:val="005F06EA"/>
    <w:rsid w:val="00AA1D8D"/>
    <w:rsid w:val="00B47730"/>
    <w:rsid w:val="00B72458"/>
    <w:rsid w:val="00CB0664"/>
    <w:rsid w:val="00F33409"/>
    <w:rsid w:val="00FC693F"/>
    <w:rsid w:val="098A7340"/>
    <w:rsid w:val="28FF2B43"/>
    <w:rsid w:val="4A423EE2"/>
    <w:rsid w:val="6AF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6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25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"/>
    <w:basedOn w:val="1"/>
    <w:unhideWhenUsed/>
    <w:uiPriority w:val="99"/>
    <w:pPr>
      <w:ind w:left="360" w:hanging="360"/>
      <w:contextualSpacing/>
    </w:pPr>
  </w:style>
  <w:style w:type="paragraph" w:styleId="27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2"/>
    <w:basedOn w:val="1"/>
    <w:unhideWhenUsed/>
    <w:uiPriority w:val="99"/>
    <w:pPr>
      <w:ind w:left="720" w:hanging="360"/>
      <w:contextualSpacing/>
    </w:pPr>
  </w:style>
  <w:style w:type="paragraph" w:styleId="3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4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7">
    <w:name w:val="Header Char"/>
    <w:basedOn w:val="11"/>
    <w:link w:val="27"/>
    <w:uiPriority w:val="99"/>
  </w:style>
  <w:style w:type="character" w:customStyle="1" w:styleId="38">
    <w:name w:val="Footer Char"/>
    <w:basedOn w:val="11"/>
    <w:link w:val="25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1"/>
    <w:uiPriority w:val="99"/>
  </w:style>
  <w:style w:type="character" w:customStyle="1" w:styleId="47">
    <w:name w:val="Body Text 2 Char"/>
    <w:basedOn w:val="11"/>
    <w:link w:val="23"/>
    <w:uiPriority w:val="99"/>
  </w:style>
  <w:style w:type="character" w:customStyle="1" w:styleId="48">
    <w:name w:val="Body Text 3 Char"/>
    <w:basedOn w:val="11"/>
    <w:link w:val="18"/>
    <w:uiPriority w:val="99"/>
    <w:rPr>
      <w:sz w:val="16"/>
      <w:szCs w:val="16"/>
    </w:rPr>
  </w:style>
  <w:style w:type="character" w:customStyle="1" w:styleId="49">
    <w:name w:val="Macro Text Char"/>
    <w:basedOn w:val="11"/>
    <w:link w:val="28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Table Grid"/>
    <w:basedOn w:val="3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7">
    <w:name w:val="Light Shading"/>
    <w:basedOn w:val="36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36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36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36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36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36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36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36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36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36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36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36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36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36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36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36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36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36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36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36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36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36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36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36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36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36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36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36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36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36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36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36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36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36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36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1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2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3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5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6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List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389</Words>
  <Characters>2219</Characters>
  <Lines>18</Lines>
  <Paragraphs>5</Paragraphs>
  <TotalTime>130</TotalTime>
  <ScaleCrop>false</ScaleCrop>
  <LinksUpToDate>false</LinksUpToDate>
  <CharactersWithSpaces>2603</CharactersWithSpaces>
  <Application>WPS Office_12.2.0.21931_F1E327BC-269C-435d-A152-05C5408002CA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2025-07-23T08:10:00Z</dcterms:created>
  <dc:creator>python-docx</dc:creator>
  <dc:description>generated by python-docx</dc:description>
  <cp:lastModifiedBy>mahado medmoussa</cp:lastModifiedBy>
  <dcterms:modified xsi:type="dcterms:W3CDTF">2025-07-24T08:58:54Z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36CFD3AB1D284866B23E3572084DCBBF_12</vt:lpwstr>
  </property>
</Properties>
</file>