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Masterstudiengang Schulische Heilpädagogik</w:t>
      </w:r>
      <w:r>
        <w:br/>
      </w:r>
      <w:r>
        <w:t xml:space="preserve">Masterprüfung Vertiefung</w:t>
      </w:r>
      <w:r>
        <w:br/>
      </w:r>
    </w:p>
    <w:p>
      <w:pPr>
        <w:pStyle w:val="BodyText"/>
      </w:pPr>
      <w:r>
        <w:rPr>
          <w:i/>
          <w:iCs/>
        </w:rPr>
        <w:t xml:space="preserve">Verdeckte Begabungen bei frühem</w:t>
      </w:r>
      <w:r>
        <w:br/>
      </w:r>
      <w:r>
        <w:rPr>
          <w:i/>
          <w:iCs/>
        </w:rPr>
        <w:t xml:space="preserve">Zweitspracherwerb</w:t>
      </w:r>
    </w:p>
    <w:p>
      <w:pPr>
        <w:pStyle w:val="BodyText"/>
      </w:pPr>
      <w:r>
        <w:t xml:space="preserve">Fünf wissenschaftlich fundierte Sprechfassungen</w:t>
      </w:r>
      <w:r>
        <w:br/>
      </w:r>
      <w:r>
        <w:t xml:space="preserve">zu Erkennung, Förderung und Sicherung im Projekt SOLUX</w:t>
      </w:r>
    </w:p>
    <w:p>
      <w:pPr>
        <w:pStyle w:val="BodyText"/>
      </w:pPr>
      <w:r>
        <w:t xml:space="preserve">Vortragsmanuskript zum Plakat mit Ringstruktur</w:t>
      </w:r>
    </w:p>
    <w:p>
      <w:pPr>
        <w:pStyle w:val="BodyText"/>
      </w:pPr>
      <w:r>
        <w:t xml:space="preserve">Examinatorin: Sabine Tanner Merlo</w:t>
      </w:r>
      <w:r>
        <w:br/>
      </w:r>
    </w:p>
    <w:p>
      <w:pPr>
        <w:pStyle w:val="BodyText"/>
      </w:pPr>
      <w:r>
        <w:t xml:space="preserve">Abgelegt von:</w:t>
      </w:r>
      <w:r>
        <w:br/>
      </w:r>
      <w:r>
        <w:t xml:space="preserve">Inti Merolli</w:t>
      </w:r>
      <w:r>
        <w:br/>
      </w:r>
      <w:r>
        <w:t xml:space="preserve">Prüfungstermin:</w:t>
      </w:r>
      <w:r>
        <w:br/>
      </w:r>
      <w:r>
        <w:t xml:space="preserve">11. Juni 2026</w:t>
      </w:r>
    </w:p>
    <w:bookmarkStart w:id="9" w:name="abkürzungsverzeichnis"/>
    <w:p>
      <w:pPr>
        <w:pStyle w:val="Heading1"/>
      </w:pPr>
      <w:r>
        <w:t xml:space="preserve">Abkürzungsverzeichnis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Twice Exceptionality, doppelte Ausnahme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Deutsch als Zweitsprache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Classification of Functioning, Disability and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ICF – Children and Youth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KJPD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Kinder- und Jugendpsychiatrischer Dienst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Psychomotorik-Therapie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Schoolwide Enrichment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Schulische Heilpädagogin / Schulischer Heilpädagoge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Schulpsychologischer Dienst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Design for Learning</w:t>
            </w:r>
          </w:p>
        </w:tc>
      </w:tr>
    </w:tbl>
    <w:bookmarkEnd w:id="9"/>
    <w:bookmarkStart w:id="10" w:name="vortragslogik-des-plakats"/>
    <w:p>
      <w:pPr>
        <w:pStyle w:val="Heading1"/>
      </w:pPr>
      <w:r>
        <w:t xml:space="preserve">Vortragslogik des Plakats</w:t>
      </w:r>
    </w:p>
    <w:p>
      <w:pPr>
        <w:pStyle w:val="FirstParagraph"/>
      </w:pPr>
      <w:r>
        <w:t xml:space="preserve">Die fünf Sprechfassungen beantworten je eine Fragestellung eigenständig. Das</w:t>
      </w:r>
      <w:r>
        <w:t xml:space="preserve"> </w:t>
      </w:r>
      <w:r>
        <w:t xml:space="preserve">Plakat dient dabei als prägnante Visualisierung: Vier Ringsegmente zeigen</w:t>
      </w:r>
      <w:r>
        <w:t xml:space="preserve"> </w:t>
      </w:r>
      <w:r>
        <w:t xml:space="preserve">zunächst eine defizitorientierte Oberfläche und öffnen darunter die fachliche</w:t>
      </w:r>
      <w:r>
        <w:t xml:space="preserve"> </w:t>
      </w:r>
      <w:r>
        <w:t xml:space="preserve">Antwort; im Zentrum steht SOLUX als diagnostisches Fenster, in dem Begabung</w:t>
      </w:r>
      <w:r>
        <w:t xml:space="preserve"> </w:t>
      </w:r>
      <w:r>
        <w:t xml:space="preserve">nicht erzeugt, sondern unter veränderten Bedingungen erkennbar wird. Die</w:t>
      </w:r>
      <w:r>
        <w:t xml:space="preserve"> </w:t>
      </w:r>
      <w:r>
        <w:t xml:space="preserve">äusseren Stationen heissen</w:t>
      </w:r>
      <w:r>
        <w:t xml:space="preserve"> </w:t>
      </w:r>
      <w:r>
        <w:rPr>
          <w:i/>
          <w:iCs/>
        </w:rPr>
        <w:t xml:space="preserve">Erkennen</w:t>
      </w:r>
      <w:r>
        <w:t xml:space="preserve">,</w:t>
      </w:r>
      <w:r>
        <w:t xml:space="preserve"> </w:t>
      </w:r>
      <w:r>
        <w:rPr>
          <w:i/>
          <w:iCs/>
        </w:rPr>
        <w:t xml:space="preserve">Entlasten</w:t>
      </w:r>
      <w:r>
        <w:t xml:space="preserve">,</w:t>
      </w:r>
      <w:r>
        <w:t xml:space="preserve"> </w:t>
      </w:r>
      <w:r>
        <w:rPr>
          <w:i/>
          <w:iCs/>
        </w:rPr>
        <w:t xml:space="preserve">Anerkennen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Sichern</w:t>
      </w:r>
      <w:r>
        <w:t xml:space="preserve">; die Mitte heisst</w:t>
      </w:r>
      <w:r>
        <w:t xml:space="preserve"> </w:t>
      </w:r>
      <w:r>
        <w:rPr>
          <w:i/>
          <w:iCs/>
        </w:rPr>
        <w:t xml:space="preserve">Sichtbar</w:t>
      </w:r>
      <w:r>
        <w:rPr>
          <w:i/>
          <w:iCs/>
        </w:rPr>
        <w:t xml:space="preserve"> </w:t>
      </w:r>
      <w:r>
        <w:rPr>
          <w:i/>
          <w:iCs/>
        </w:rPr>
        <w:t xml:space="preserve">machen</w:t>
      </w:r>
      <w:r>
        <w:t xml:space="preserve">.</w:t>
      </w:r>
    </w:p>
    <w:p>
      <w:pPr>
        <w:pStyle w:val="BodyText"/>
      </w:pPr>
      <w:r>
        <w:t xml:space="preserve">Die Sprechfassungen sind als wissenschaftlich gerahmte Vortragsmanuskripte</w:t>
      </w:r>
      <w:r>
        <w:t xml:space="preserve"> </w:t>
      </w:r>
      <w:r>
        <w:t xml:space="preserve">formuliert. Die Literaturverweise bleiben im Text stehen, damit die Quellentreue</w:t>
      </w:r>
      <w:r>
        <w:t xml:space="preserve"> </w:t>
      </w:r>
      <w:r>
        <w:t xml:space="preserve">im schriftlichen Dokument nachvollziehbar ist. Für die mündliche Prüfung können</w:t>
      </w:r>
      <w:r>
        <w:t xml:space="preserve"> </w:t>
      </w:r>
      <w:r>
        <w:t xml:space="preserve">die Zitationsklammern situativ verdichtet oder ausgelassen werden.</w:t>
      </w:r>
    </w:p>
    <w:bookmarkEnd w:id="10"/>
    <w:bookmarkStart w:id="11" w:name="sec:vortrag1"/>
    <w:p>
      <w:pPr>
        <w:pStyle w:val="Heading1"/>
      </w:pPr>
      <w:r>
        <w:t xml:space="preserve">Vortrag 1: Erkennen</w:t>
      </w:r>
    </w:p>
    <w:p>
      <w:pPr>
        <w:pStyle w:val="BlockText"/>
      </w:pPr>
      <w:r>
        <w:rPr>
          <w:i/>
          <w:iCs/>
        </w:rPr>
        <w:t xml:space="preserve">Wie können verdeckte Begabungen bei neu zugewanderten, mehrsprachigen</w:t>
      </w:r>
      <w:r>
        <w:rPr>
          <w:i/>
          <w:iCs/>
        </w:rPr>
        <w:t xml:space="preserve"> </w:t>
      </w:r>
      <w:r>
        <w:rPr>
          <w:i/>
          <w:iCs/>
        </w:rPr>
        <w:t xml:space="preserve">Schüler:innen mit geringen Deutschkenntnissen multiperspektivisch erfasst</w:t>
      </w:r>
      <w:r>
        <w:rPr>
          <w:i/>
          <w:iCs/>
        </w:rPr>
        <w:t xml:space="preserve"> </w:t>
      </w:r>
      <w:r>
        <w:rPr>
          <w:i/>
          <w:iCs/>
        </w:rPr>
        <w:t xml:space="preserve">werden?</w:t>
      </w:r>
    </w:p>
    <w:p>
      <w:pPr>
        <w:pStyle w:val="FirstParagraph"/>
      </w:pPr>
      <w:r>
        <w:t xml:space="preserve">Meine Kernthese lautet: Bei S. darf kein Einzelbefund das letzte Wort haben.</w:t>
      </w:r>
      <w:r>
        <w:t xml:space="preserve"> </w:t>
      </w:r>
      <w:r>
        <w:t xml:space="preserve">Verdeckte Begabung erkenne ich nur, wenn ich Sprache, Verhalten, Biografie,</w:t>
      </w:r>
      <w:r>
        <w:t xml:space="preserve"> </w:t>
      </w:r>
      <w:r>
        <w:t xml:space="preserve">Unterricht und SOLUX-Beobachtungen zusammenlese.</w:t>
      </w:r>
    </w:p>
    <w:p>
      <w:pPr>
        <w:pStyle w:val="BodyText"/>
      </w:pPr>
      <w:r>
        <w:t xml:space="preserve">Die Lupe auf dem Plakat verdichtet diese diagnostische Aufgabe: Sie steht für</w:t>
      </w:r>
      <w:r>
        <w:t xml:space="preserve"> </w:t>
      </w:r>
      <w:r>
        <w:t xml:space="preserve">genaues Hinschauen, aber auch für die Gefahr, einen Teilbefund zu übergewichten.</w:t>
      </w:r>
      <w:r>
        <w:t xml:space="preserve"> </w:t>
      </w:r>
      <w:r>
        <w:t xml:space="preserve">Der erste schulische Blick sieht Sprachstand, Verhalten und</w:t>
      </w:r>
      <w:r>
        <w:t xml:space="preserve"> </w:t>
      </w:r>
      <w:r>
        <w:t xml:space="preserve">Anpassungsschwierigkeiten – er sieht aber noch nicht zwingend das kognitive</w:t>
      </w:r>
      <w:r>
        <w:t xml:space="preserve"> </w:t>
      </w:r>
      <w:r>
        <w:t xml:space="preserve">Potenzial. Erkennen heisst darum nicht, den ersten Eindruck zu bestätigen.</w:t>
      </w:r>
      <w:r>
        <w:t xml:space="preserve"> </w:t>
      </w:r>
      <w:r>
        <w:t xml:space="preserve">Erkennen heisst, den ersten Blick fachlich zu überschreiten.</w:t>
      </w:r>
    </w:p>
    <w:p>
      <w:pPr>
        <w:pStyle w:val="BodyText"/>
      </w:pPr>
      <w:r>
        <w:t xml:space="preserve">S. ist elf Jahre alt, seit Januar 2025 in der Schweiz, Erstsprache Albanisch, im</w:t>
      </w:r>
      <w:r>
        <w:t xml:space="preserve"> </w:t>
      </w:r>
      <w:r>
        <w:t xml:space="preserve">Alltag oft Englisch, Deutsch auf A1-Niveau. In der Übergabe wurde er als</w:t>
      </w:r>
      <w:r>
        <w:t xml:space="preserve"> </w:t>
      </w:r>
      <w:r>
        <w:t xml:space="preserve">“eher auffällig, sehr weinerlich und etwas störend”</w:t>
      </w:r>
      <w:r>
        <w:t xml:space="preserve"> </w:t>
      </w:r>
      <w:r>
        <w:t xml:space="preserve">beschrieben.</w:t>
      </w:r>
      <w:r>
        <w:t xml:space="preserve"> </w:t>
      </w:r>
      <w:r>
        <w:t xml:space="preserve">Gleichzeitig zeigte er im offenen SOLUX-Setting mathematisches Verständnis,</w:t>
      </w:r>
      <w:r>
        <w:t xml:space="preserve"> </w:t>
      </w:r>
      <w:r>
        <w:t xml:space="preserve">strategisches Schachdenken, Mustererkennung und ausdauernde Konzentration. Diese</w:t>
      </w:r>
      <w:r>
        <w:t xml:space="preserve"> </w:t>
      </w:r>
      <w:r>
        <w:t xml:space="preserve">Diskrepanz ist kein Widerspruch. Sie ist der zentrale diagnostische Befund: Was</w:t>
      </w:r>
      <w:r>
        <w:t xml:space="preserve"> </w:t>
      </w:r>
      <w:r>
        <w:t xml:space="preserve">ein Kind zeigt, hängt davon ab, unter welchen Bedingungen es gesehen wird.</w:t>
      </w:r>
    </w:p>
    <w:p>
      <w:pPr>
        <w:pStyle w:val="BodyText"/>
      </w:pPr>
      <w:r>
        <w:t xml:space="preserve">Wenn ich den Deckel öffne, erscheint deshalb die fachliche Antwort:</w:t>
      </w:r>
      <w:r>
        <w:t xml:space="preserve"> </w:t>
      </w:r>
      <w:r>
        <w:t xml:space="preserve">sprachsensibel, mehrperspektivisch, stärkenoffen, multiprofessionell und</w:t>
      </w:r>
      <w:r>
        <w:t xml:space="preserve"> </w:t>
      </w:r>
      <w:r>
        <w:t xml:space="preserve">kontextbewusst erfassen. Das nenne ich mein diagnostisches Mosaik. Mosaik</w:t>
      </w:r>
      <w:r>
        <w:t xml:space="preserve"> </w:t>
      </w:r>
      <w:r>
        <w:t xml:space="preserve">bedeutet aber nicht, beliebig viele Informationen zu sammeln. Es bedeutet,</w:t>
      </w:r>
      <w:r>
        <w:t xml:space="preserve"> </w:t>
      </w:r>
      <w:r>
        <w:t xml:space="preserve">Befunde in Beziehung zu setzen.</w:t>
      </w:r>
    </w:p>
    <w:p>
      <w:pPr>
        <w:pStyle w:val="BodyText"/>
      </w:pPr>
      <w:r>
        <w:t xml:space="preserve">Der erste Mosaikstein ist die sprachsensible Diagnostik. Bei neu zugewanderten</w:t>
      </w:r>
      <w:r>
        <w:t xml:space="preserve"> </w:t>
      </w:r>
      <w:r>
        <w:t xml:space="preserve">Kindern ist Sprache keine Randbedingung, sondern eine Validitätsbedingung.</w:t>
      </w:r>
      <w:r>
        <w:t xml:space="preserve"> </w:t>
      </w:r>
      <w:r>
        <w:t xml:space="preserve">Leistungsdiagnostische Verfahren können Ergebnisse verfälschen, wenn sie</w:t>
      </w:r>
      <w:r>
        <w:t xml:space="preserve"> </w:t>
      </w:r>
      <w:r>
        <w:t xml:space="preserve">sprachliche Anforderungen nicht mitdenken; Mehrsprachigkeit ist zugleich Teil</w:t>
      </w:r>
      <w:r>
        <w:t xml:space="preserve"> </w:t>
      </w:r>
      <w:r>
        <w:t xml:space="preserve">der Kompetenzbiografie und darf nicht defizitär verkürzt werden</w:t>
      </w:r>
      <w:r>
        <w:t xml:space="preserve"> </w:t>
      </w:r>
      <w:r>
        <w:t xml:space="preserve">(Haag et al. 2018; Maehler et al. 2018)</w:t>
      </w:r>
      <w:r>
        <w:t xml:space="preserve">. Für S.</w:t>
      </w:r>
      <w:r>
        <w:t xml:space="preserve"> </w:t>
      </w:r>
      <w:r>
        <w:t xml:space="preserve">heisst das: Albanisch, Englisch und Deutsch A1 bilden ein Sprachprofil.</w:t>
      </w:r>
      <w:r>
        <w:t xml:space="preserve"> </w:t>
      </w:r>
      <w:r>
        <w:t xml:space="preserve">Diagnostisch muss ich fragen: In welcher Sprache, mit welchen Aufgaben und über</w:t>
      </w:r>
      <w:r>
        <w:t xml:space="preserve"> </w:t>
      </w:r>
      <w:r>
        <w:t xml:space="preserve">welche nonverbalen oder handlungsorientierten Zugänge kann S. zeigen, was er</w:t>
      </w:r>
      <w:r>
        <w:t xml:space="preserve"> </w:t>
      </w:r>
      <w:r>
        <w:t xml:space="preserve">denkt?</w:t>
      </w:r>
    </w:p>
    <w:p>
      <w:pPr>
        <w:pStyle w:val="BodyText"/>
      </w:pPr>
      <w:r>
        <w:t xml:space="preserve">Der zweite Mosaikstein ist das kritisch eingeordnete Lehrkrafturteil. Das</w:t>
      </w:r>
      <w:r>
        <w:t xml:space="preserve"> </w:t>
      </w:r>
      <w:r>
        <w:t xml:space="preserve">Übergabeurteil ist nicht wertlos, aber es ist situationsgebunden. Begabte Kinder</w:t>
      </w:r>
      <w:r>
        <w:t xml:space="preserve"> </w:t>
      </w:r>
      <w:r>
        <w:t xml:space="preserve">mit Migrationserfahrung werden in Förderkontexten leicht übersehen, wenn</w:t>
      </w:r>
      <w:r>
        <w:t xml:space="preserve"> </w:t>
      </w:r>
      <w:r>
        <w:t xml:space="preserve">Leistung, Sprache und Anpassung als Hauptindikatoren gelten</w:t>
      </w:r>
      <w:r>
        <w:t xml:space="preserve"> </w:t>
      </w:r>
      <w:r>
        <w:t xml:space="preserve">(Stamm 2021; Koop 2025; Keller-Koller 2025)</w:t>
      </w:r>
      <w:r>
        <w:t xml:space="preserve">.</w:t>
      </w:r>
      <w:r>
        <w:t xml:space="preserve"> </w:t>
      </w:r>
      <w:r>
        <w:t xml:space="preserve">Zusätzlich wirken implizite Begabungsbilder: Begabte Kinder werden häufig als</w:t>
      </w:r>
      <w:r>
        <w:t xml:space="preserve"> </w:t>
      </w:r>
      <w:r>
        <w:t xml:space="preserve">sprachlich stark, angepasst und leistungsfähig erwartet</w:t>
      </w:r>
      <w:r>
        <w:t xml:space="preserve"> </w:t>
      </w:r>
      <w:r>
        <w:t xml:space="preserve">(Baudson 2021)</w:t>
      </w:r>
      <w:r>
        <w:t xml:space="preserve">. Wer diesem Bild nicht entspricht, fällt aus</w:t>
      </w:r>
      <w:r>
        <w:t xml:space="preserve"> </w:t>
      </w:r>
      <w:r>
        <w:t xml:space="preserve">dem Raster. Darum sage ich zur Lupe: Die Wörter auf dem Deckel sind relevant,</w:t>
      </w:r>
      <w:r>
        <w:t xml:space="preserve"> </w:t>
      </w:r>
      <w:r>
        <w:t xml:space="preserve">aber sie sind noch keine Diagnose. Sie zeigen, was sichtbar wurde, nicht, was</w:t>
      </w:r>
      <w:r>
        <w:t xml:space="preserve"> </w:t>
      </w:r>
      <w:r>
        <w:t xml:space="preserve">möglich ist.</w:t>
      </w:r>
    </w:p>
    <w:p>
      <w:pPr>
        <w:pStyle w:val="BodyText"/>
      </w:pPr>
      <w:r>
        <w:t xml:space="preserve">Der dritte Mosaikstein ist die stärkenoffene Beobachtung. SOLUX ist in Frage 1</w:t>
      </w:r>
      <w:r>
        <w:t xml:space="preserve"> </w:t>
      </w:r>
      <w:r>
        <w:t xml:space="preserve">noch nicht das Zentrum der Theorie, sondern ein wichtiger Kontrastbefund. Im</w:t>
      </w:r>
      <w:r>
        <w:t xml:space="preserve"> </w:t>
      </w:r>
      <w:r>
        <w:t xml:space="preserve">Regelunterricht erscheint S. über Sprache, Schrift und Verhalten. In SOLUX wird</w:t>
      </w:r>
      <w:r>
        <w:t xml:space="preserve"> </w:t>
      </w:r>
      <w:r>
        <w:t xml:space="preserve">strategisches Denken sichtbar. Das beweist für sich allein keine Hochbegabung,</w:t>
      </w:r>
      <w:r>
        <w:t xml:space="preserve"> </w:t>
      </w:r>
      <w:r>
        <w:t xml:space="preserve">aber es zeigt: Der Defizitblick ist unvollständig.</w:t>
      </w:r>
    </w:p>
    <w:p>
      <w:pPr>
        <w:pStyle w:val="BodyText"/>
      </w:pPr>
      <w:r>
        <w:t xml:space="preserve">Der vierte Mosaikstein ist die multiprofessionelle Prozessdiagnostik. Diagnostik</w:t>
      </w:r>
      <w:r>
        <w:t xml:space="preserve"> </w:t>
      </w:r>
      <w:r>
        <w:t xml:space="preserve">ist nicht ein einzelner Testmoment, sondern ein Prozess aus Beobachtung,</w:t>
      </w:r>
      <w:r>
        <w:t xml:space="preserve"> </w:t>
      </w:r>
      <w:r>
        <w:t xml:space="preserve">Hypothese, Intervention und Evaluation</w:t>
      </w:r>
      <w:r>
        <w:t xml:space="preserve"> </w:t>
      </w:r>
      <w:r>
        <w:t xml:space="preserve">(Gauck and Reimann 2021; S. Müller-Oppliger 2021)</w:t>
      </w:r>
      <w:r>
        <w:t xml:space="preserve">.</w:t>
      </w:r>
      <w:r>
        <w:t xml:space="preserve"> </w:t>
      </w:r>
      <w:r>
        <w:t xml:space="preserve">Bei S. müssen deshalb SHP, Klassenlehrperson, DaZ, SPD, PMT, Elternwissen und</w:t>
      </w:r>
      <w:r>
        <w:t xml:space="preserve"> </w:t>
      </w:r>
      <w:r>
        <w:t xml:space="preserve">SOLUX-Beobachtungen zusammengeführt werden.</w:t>
      </w:r>
    </w:p>
    <w:p>
      <w:pPr>
        <w:pStyle w:val="BodyText"/>
      </w:pPr>
      <w:r>
        <w:t xml:space="preserve">Der fünfte Mosaikstein ist die Kontextperspektive. Mobbingerfahrungen,</w:t>
      </w:r>
      <w:r>
        <w:t xml:space="preserve"> </w:t>
      </w:r>
      <w:r>
        <w:t xml:space="preserve">unterbrochener Schriftspracherwerb, Migration und soziale Isolation erklären</w:t>
      </w:r>
      <w:r>
        <w:t xml:space="preserve"> </w:t>
      </w:r>
      <w:r>
        <w:t xml:space="preserve">nicht alles, aber sie verändern die Lesart. Mit der ICF-CY denke ich Person,</w:t>
      </w:r>
      <w:r>
        <w:t xml:space="preserve"> </w:t>
      </w:r>
      <w:r>
        <w:t xml:space="preserve">Aktivität, Partizipation und Umwelt zusammen</w:t>
      </w:r>
      <w:r>
        <w:t xml:space="preserve"> </w:t>
      </w:r>
      <w:r>
        <w:t xml:space="preserve">(World Health Organization 2007)</w:t>
      </w:r>
      <w:r>
        <w:t xml:space="preserve">. Mit dem</w:t>
      </w:r>
      <w:r>
        <w:t xml:space="preserve"> </w:t>
      </w:r>
      <w:r>
        <w:t xml:space="preserve">2e-Konzept nutze ich</w:t>
      </w:r>
      <w:r>
        <w:t xml:space="preserve"> </w:t>
      </w:r>
      <w:r>
        <w:t xml:space="preserve">“doppelte Ausnahme”</w:t>
      </w:r>
      <w:r>
        <w:t xml:space="preserve"> </w:t>
      </w:r>
      <w:r>
        <w:t xml:space="preserve">nicht als Etikett, sondern als</w:t>
      </w:r>
      <w:r>
        <w:t xml:space="preserve"> </w:t>
      </w:r>
      <w:r>
        <w:t xml:space="preserve">diagnostische Suchperspektive: Schwierigkeiten dürfen Potenzial nicht verdecken</w:t>
      </w:r>
      <w:r>
        <w:t xml:space="preserve"> </w:t>
      </w:r>
      <w:r>
        <w:t xml:space="preserve">(Kappus 2010; Baum and Schader 2021; Webb et al. 2020)</w:t>
      </w:r>
      <w:r>
        <w:t xml:space="preserve">.</w:t>
      </w:r>
    </w:p>
    <w:p>
      <w:pPr>
        <w:pStyle w:val="BodyText"/>
      </w:pPr>
      <w:r>
        <w:t xml:space="preserve">Damit komme ich zum Merksatz unter der Klappe: Kein Einzelbefund hat das letzte</w:t>
      </w:r>
      <w:r>
        <w:t xml:space="preserve"> </w:t>
      </w:r>
      <w:r>
        <w:t xml:space="preserve">Wort. Multiperspektivische Diagnostik ist Triangulation, nicht Addition. Ich</w:t>
      </w:r>
      <w:r>
        <w:t xml:space="preserve"> </w:t>
      </w:r>
      <w:r>
        <w:t xml:space="preserve">frage: Welche Beobachtung stammt aus welchem Setting? Welche Barriere könnte</w:t>
      </w:r>
      <w:r>
        <w:t xml:space="preserve"> </w:t>
      </w:r>
      <w:r>
        <w:t xml:space="preserve">Leistung verdecken? Welche nächste Förderung prüft unsere Hypothese?</w:t>
      </w:r>
    </w:p>
    <w:p>
      <w:pPr>
        <w:pStyle w:val="BodyText"/>
      </w:pPr>
      <w:r>
        <w:t xml:space="preserve">Gleichzeitig muss ich aufpassen, dass SOLUX nicht zum neuen Bestätigungsfehler</w:t>
      </w:r>
      <w:r>
        <w:t xml:space="preserve"> </w:t>
      </w:r>
      <w:r>
        <w:t xml:space="preserve">wird. Auch die stärkenorientierte Beobachtung braucht Kriterien,</w:t>
      </w:r>
      <w:r>
        <w:t xml:space="preserve"> </w:t>
      </w:r>
      <w:r>
        <w:t xml:space="preserve">Vergleichsdaten und multiprofessionelle Einordnung.</w:t>
      </w:r>
    </w:p>
    <w:p>
      <w:pPr>
        <w:pStyle w:val="BodyText"/>
      </w:pPr>
      <w:r>
        <w:t xml:space="preserve">Je nach Ergänzungsfrage würde ich unterscheiden: Bei einfachen Massnahmen</w:t>
      </w:r>
      <w:r>
        <w:t xml:space="preserve"> </w:t>
      </w:r>
      <w:r>
        <w:t xml:space="preserve">stehen Unterrichtsbeobachtung und DaZ/SHP-Absprachen im Vordergrund; bei</w:t>
      </w:r>
      <w:r>
        <w:t xml:space="preserve"> </w:t>
      </w:r>
      <w:r>
        <w:t xml:space="preserve">verstärkten Massnahmen wird Triangulation mit SPD, PMT, Elternwissen und</w:t>
      </w:r>
      <w:r>
        <w:t xml:space="preserve"> </w:t>
      </w:r>
      <w:r>
        <w:t xml:space="preserve">Förderplanung zentral.</w:t>
      </w:r>
    </w:p>
    <w:p>
      <w:pPr>
        <w:pStyle w:val="BodyText"/>
      </w:pPr>
      <w:r>
        <w:rPr>
          <w:b/>
          <w:bCs/>
        </w:rPr>
        <w:t xml:space="preserve">Schlusssatz:</w:t>
      </w:r>
      <w:r>
        <w:t xml:space="preserve"> </w:t>
      </w:r>
      <w:r>
        <w:t xml:space="preserve">Der Kern ist nicht die Ja-nein-Frage, ob S. begabt ist.</w:t>
      </w:r>
      <w:r>
        <w:t xml:space="preserve"> </w:t>
      </w:r>
      <w:r>
        <w:t xml:space="preserve">Entscheidend ist, wie ich verhindere, dass sein Potenzial durch eine</w:t>
      </w:r>
      <w:r>
        <w:t xml:space="preserve"> </w:t>
      </w:r>
      <w:r>
        <w:t xml:space="preserve">eindimensionale Sicht verdeckt bleibt.</w:t>
      </w:r>
    </w:p>
    <w:bookmarkEnd w:id="11"/>
    <w:bookmarkStart w:id="12" w:name="sec:vortrag2"/>
    <w:p>
      <w:pPr>
        <w:pStyle w:val="Heading1"/>
      </w:pPr>
      <w:r>
        <w:t xml:space="preserve">Vortrag 2: Entlasten</w:t>
      </w:r>
    </w:p>
    <w:p>
      <w:pPr>
        <w:pStyle w:val="BlockText"/>
      </w:pPr>
      <w:r>
        <w:rPr>
          <w:i/>
          <w:iCs/>
        </w:rPr>
        <w:t xml:space="preserve">Welche sensomotorischen und schriftsprachlichen Faktoren können dazu beitragen,</w:t>
      </w:r>
      <w:r>
        <w:rPr>
          <w:i/>
          <w:iCs/>
        </w:rPr>
        <w:t xml:space="preserve"> </w:t>
      </w:r>
      <w:r>
        <w:rPr>
          <w:i/>
          <w:iCs/>
        </w:rPr>
        <w:t xml:space="preserve">dass kognitive Potenziale verdeckt bleiben, und wie lassen sie sich</w:t>
      </w:r>
      <w:r>
        <w:rPr>
          <w:i/>
          <w:iCs/>
        </w:rPr>
        <w:t xml:space="preserve"> </w:t>
      </w:r>
      <w:r>
        <w:rPr>
          <w:i/>
          <w:iCs/>
        </w:rPr>
        <w:t xml:space="preserve">ressourcenorientiert bearbeiten?</w:t>
      </w:r>
    </w:p>
    <w:p>
      <w:pPr>
        <w:pStyle w:val="FirstParagraph"/>
      </w:pPr>
      <w:r>
        <w:t xml:space="preserve">Meine Kernthese: S.s Problem liegt nicht im Denken, sondern im Zugang.</w:t>
      </w:r>
      <w:r>
        <w:t xml:space="preserve"> </w:t>
      </w:r>
      <w:r>
        <w:t xml:space="preserve">Graphomotorik und Leseflüssigkeit binden Kapazität, die dann für das Verstehen</w:t>
      </w:r>
      <w:r>
        <w:t xml:space="preserve"> </w:t>
      </w:r>
      <w:r>
        <w:t xml:space="preserve">fehlt – das lese ich nicht als Denkgrenze, sondern als Zugangsbarriere.</w:t>
      </w:r>
    </w:p>
    <w:p>
      <w:pPr>
        <w:pStyle w:val="BodyText"/>
      </w:pPr>
      <w:r>
        <w:t xml:space="preserve">Die Visualisierung zeigt zunächst die Oberfläche: inkonsistente Buchstaben,</w:t>
      </w:r>
      <w:r>
        <w:t xml:space="preserve"> </w:t>
      </w:r>
      <w:r>
        <w:t xml:space="preserve">nicht automatisierte Abläufe und geringe Leseflüssigkeit.</w:t>
      </w:r>
    </w:p>
    <w:p>
      <w:pPr>
        <w:pStyle w:val="BodyText"/>
      </w:pPr>
      <w:r>
        <w:t xml:space="preserve">Auf dem Plakat wird diese Logik als Brücke dargestellt: Auf dem einen Ufer liegt</w:t>
      </w:r>
      <w:r>
        <w:t xml:space="preserve"> </w:t>
      </w:r>
      <w:r>
        <w:t xml:space="preserve">die Verdeckung durch Schrift und Planung. Auf dem anderen liegt das Potenzial.</w:t>
      </w:r>
      <w:r>
        <w:t xml:space="preserve"> </w:t>
      </w:r>
      <w:r>
        <w:t xml:space="preserve">S. zeigt im SOLUX strategisches Denken, aber sobald Schreiben oder Lesen</w:t>
      </w:r>
      <w:r>
        <w:t xml:space="preserve"> </w:t>
      </w:r>
      <w:r>
        <w:t xml:space="preserve">verlangt werden, wird diese Dynamik deutlich erschwert. Die Brücke zwischen</w:t>
      </w:r>
      <w:r>
        <w:t xml:space="preserve"> </w:t>
      </w:r>
      <w:r>
        <w:t xml:space="preserve">Denken und Ausdruck ist noch nicht tragfähig.</w:t>
      </w:r>
    </w:p>
    <w:p>
      <w:pPr>
        <w:pStyle w:val="BodyText"/>
      </w:pPr>
      <w:r>
        <w:t xml:space="preserve">Der erste Faktor ist die Graphomotorik. Schreiben ist ein hierarchischer</w:t>
      </w:r>
      <w:r>
        <w:t xml:space="preserve"> </w:t>
      </w:r>
      <w:r>
        <w:t xml:space="preserve">Prozess</w:t>
      </w:r>
      <w:r>
        <w:t xml:space="preserve"> </w:t>
      </w:r>
      <w:r>
        <w:t xml:space="preserve">(Nottbusch 2017)</w:t>
      </w:r>
      <w:r>
        <w:t xml:space="preserve">. Wenn Bewegungen nicht</w:t>
      </w:r>
      <w:r>
        <w:t xml:space="preserve"> </w:t>
      </w:r>
      <w:r>
        <w:t xml:space="preserve">automatisiert sind, binden sie das Arbeitsgedächtnis; die Handschrift wird</w:t>
      </w:r>
      <w:r>
        <w:t xml:space="preserve"> </w:t>
      </w:r>
      <w:r>
        <w:t xml:space="preserve">diagnostisch relevant</w:t>
      </w:r>
      <w:r>
        <w:t xml:space="preserve"> </w:t>
      </w:r>
      <w:r>
        <w:t xml:space="preserve">(Hurschler Lichtsteiner 2020)</w:t>
      </w:r>
      <w:r>
        <w:t xml:space="preserve">. Bei S.</w:t>
      </w:r>
      <w:r>
        <w:t xml:space="preserve"> </w:t>
      </w:r>
      <w:r>
        <w:t xml:space="preserve">ist der Ausdruckskanal durch motorische Mühe eng, nicht das Denken schwach.</w:t>
      </w:r>
    </w:p>
    <w:p>
      <w:pPr>
        <w:pStyle w:val="BodyText"/>
      </w:pPr>
      <w:r>
        <w:t xml:space="preserve">Der zweite Faktor ist die Leseflüssigkeit.</w:t>
      </w:r>
      <w:r>
        <w:t xml:space="preserve"> </w:t>
      </w:r>
      <w:r>
        <w:t xml:space="preserve">Gold (2018)</w:t>
      </w:r>
      <w:r>
        <w:t xml:space="preserve"> </w:t>
      </w:r>
      <w:r>
        <w:t xml:space="preserve">zufolge liegt unter 40 Wörtern pro Minute ein Frustrationsniveau vor. Wenn S.</w:t>
      </w:r>
      <w:r>
        <w:t xml:space="preserve"> </w:t>
      </w:r>
      <w:r>
        <w:t xml:space="preserve">fast alle Ressourcen für das Dekodieren braucht, kann er kaum Sinn entnehmen.</w:t>
      </w:r>
      <w:r>
        <w:t xml:space="preserve"> </w:t>
      </w:r>
      <w:r>
        <w:t xml:space="preserve">Das Verständnis wird blockiert.</w:t>
      </w:r>
    </w:p>
    <w:p>
      <w:pPr>
        <w:pStyle w:val="BodyText"/>
      </w:pPr>
      <w:r>
        <w:t xml:space="preserve">Der dritte Faktor ist die affektiv-motivationale Dynamik. Underachievement ist</w:t>
      </w:r>
      <w:r>
        <w:t xml:space="preserve"> </w:t>
      </w:r>
      <w:r>
        <w:t xml:space="preserve">kein Persönlichkeitsmerkmal, sondern eine Diskrepanz</w:t>
      </w:r>
      <w:r>
        <w:t xml:space="preserve"> </w:t>
      </w:r>
      <w:r>
        <w:t xml:space="preserve">(Greiten 2021)</w:t>
      </w:r>
      <w:r>
        <w:t xml:space="preserve">.</w:t>
      </w:r>
      <w:r>
        <w:t xml:space="preserve"> </w:t>
      </w:r>
      <w:r>
        <w:t xml:space="preserve">Lehwald (2017)</w:t>
      </w:r>
      <w:r>
        <w:t xml:space="preserve"> </w:t>
      </w:r>
      <w:r>
        <w:t xml:space="preserve">zeigt, wie fehlende Passung zu</w:t>
      </w:r>
      <w:r>
        <w:t xml:space="preserve"> </w:t>
      </w:r>
      <w:r>
        <w:t xml:space="preserve">Anstrengungsvermeidung führen kann. Darum gilt: Sicherheit vor Anforderung, aber</w:t>
      </w:r>
      <w:r>
        <w:t xml:space="preserve"> </w:t>
      </w:r>
      <w:r>
        <w:t xml:space="preserve">nicht statt Anforderung.</w:t>
      </w:r>
    </w:p>
    <w:p>
      <w:pPr>
        <w:pStyle w:val="BodyText"/>
      </w:pPr>
      <w:r>
        <w:t xml:space="preserve">Wenn ich den Deckel öffne, erscheint die fachliche Antwort: die</w:t>
      </w:r>
      <w:r>
        <w:t xml:space="preserve"> </w:t>
      </w:r>
      <w:r>
        <w:t xml:space="preserve">Schrift-Schach-Brücke mit drei Pfeilern:</w:t>
      </w:r>
    </w:p>
    <w:p>
      <w:pPr>
        <w:pStyle w:val="BodyText"/>
      </w:pPr>
      <w:r>
        <w:t xml:space="preserve">Der erste Pfeiler ist graphomotorisch: Ich nutze kurze Schachnotationen wie</w:t>
      </w:r>
      <w:r>
        <w:t xml:space="preserve"> </w:t>
      </w:r>
      <w:r>
        <w:t xml:space="preserve">e2-e4 oder Sf3-e5, um Buchstaben und Zahlen mit Bedeutung zu üben.</w:t>
      </w:r>
    </w:p>
    <w:p>
      <w:pPr>
        <w:pStyle w:val="BodyText"/>
      </w:pPr>
      <w:r>
        <w:t xml:space="preserve">Der zweite Pfeiler ist schriftsprachlich: Ich arbeite mit wiederholtem Lautlesen</w:t>
      </w:r>
      <w:r>
        <w:t xml:space="preserve"> </w:t>
      </w:r>
      <w:r>
        <w:t xml:space="preserve">von Schachwörtern, was den Aufbau von Leseflüssigkeit unterstützt</w:t>
      </w:r>
      <w:r>
        <w:t xml:space="preserve"> </w:t>
      </w:r>
      <w:r>
        <w:t xml:space="preserve">(Gold 2018)</w:t>
      </w:r>
      <w:r>
        <w:t xml:space="preserve">.</w:t>
      </w:r>
    </w:p>
    <w:p>
      <w:pPr>
        <w:pStyle w:val="BodyText"/>
      </w:pPr>
      <w:r>
        <w:t xml:space="preserve">Der dritte Pfeiler ist heilpädagogisch: Das GRAFINK-Rahmenmodell legitimiert</w:t>
      </w:r>
      <w:r>
        <w:t xml:space="preserve"> </w:t>
      </w:r>
      <w:r>
        <w:t xml:space="preserve">Graphomotorik als inklusiven Förderbereich</w:t>
      </w:r>
      <w:r>
        <w:t xml:space="preserve"> </w:t>
      </w:r>
      <w:r>
        <w:t xml:space="preserve">(Sägesser Wyss et al. 2021)</w:t>
      </w:r>
      <w:r>
        <w:t xml:space="preserve">.</w:t>
      </w:r>
    </w:p>
    <w:p>
      <w:pPr>
        <w:pStyle w:val="BodyText"/>
      </w:pPr>
      <w:r>
        <w:t xml:space="preserve">Die Schrift-Schach-Brücke darf nicht beim Spezialinteresse stehen bleiben.</w:t>
      </w:r>
      <w:r>
        <w:t xml:space="preserve"> </w:t>
      </w:r>
      <w:r>
        <w:t xml:space="preserve">Förderdiagnostisch relevant wird sie erst, wenn sich Automatisierung und</w:t>
      </w:r>
      <w:r>
        <w:t xml:space="preserve"> </w:t>
      </w:r>
      <w:r>
        <w:t xml:space="preserve">Leseflüssigkeit auf andere schulische Situationen übertragen.</w:t>
      </w:r>
    </w:p>
    <w:p>
      <w:pPr>
        <w:pStyle w:val="BodyText"/>
      </w:pPr>
      <w:r>
        <w:t xml:space="preserve">Je nach Ergänzungsfrage würde ich unterscheiden, ob die Entlastung primär</w:t>
      </w:r>
      <w:r>
        <w:t xml:space="preserve"> </w:t>
      </w:r>
      <w:r>
        <w:t xml:space="preserve">graphomotorisch, lesedidaktisch oder motivational ansetzt. Entscheidend bleibt:</w:t>
      </w:r>
      <w:r>
        <w:t xml:space="preserve"> </w:t>
      </w:r>
      <w:r>
        <w:t xml:space="preserve">Der Anspruch wird nicht gesenkt, sondern der Zugang zum Anspruch aufgebaut.</w:t>
      </w:r>
    </w:p>
    <w:p>
      <w:pPr>
        <w:pStyle w:val="BodyText"/>
      </w:pPr>
      <w:r>
        <w:rPr>
          <w:b/>
          <w:bCs/>
        </w:rPr>
        <w:t xml:space="preserve">Schlusssatz:</w:t>
      </w:r>
      <w:r>
        <w:t xml:space="preserve"> </w:t>
      </w:r>
      <w:r>
        <w:t xml:space="preserve">Der Kern liegt nicht in der Frage, ob S. genug übt.</w:t>
      </w:r>
      <w:r>
        <w:t xml:space="preserve"> </w:t>
      </w:r>
      <w:r>
        <w:t xml:space="preserve">Entscheidend ist, welche Barrieren sein Denken verdecken – und wie ich sie</w:t>
      </w:r>
      <w:r>
        <w:t xml:space="preserve"> </w:t>
      </w:r>
      <w:r>
        <w:t xml:space="preserve">abbaue, ohne den kognitiven Anspruch zu senken.</w:t>
      </w:r>
    </w:p>
    <w:bookmarkEnd w:id="12"/>
    <w:bookmarkStart w:id="13" w:name="sec:vortrag3"/>
    <w:p>
      <w:pPr>
        <w:pStyle w:val="Heading1"/>
      </w:pPr>
      <w:r>
        <w:t xml:space="preserve">Vortrag 3: Anerkennen</w:t>
      </w:r>
    </w:p>
    <w:p>
      <w:pPr>
        <w:pStyle w:val="BlockText"/>
      </w:pPr>
      <w:r>
        <w:rPr>
          <w:i/>
          <w:iCs/>
        </w:rPr>
        <w:t xml:space="preserve">Unter welchen relationalen Bedingungen werden die Potenziale von S. sichtbar,</w:t>
      </w:r>
      <w:r>
        <w:rPr>
          <w:i/>
          <w:iCs/>
        </w:rPr>
        <w:t xml:space="preserve"> </w:t>
      </w:r>
      <w:r>
        <w:rPr>
          <w:i/>
          <w:iCs/>
        </w:rPr>
        <w:t xml:space="preserve">und welche Rolle spielt soziale Teilhabe dabei?</w:t>
      </w:r>
    </w:p>
    <w:p>
      <w:pPr>
        <w:pStyle w:val="FirstParagraph"/>
      </w:pPr>
      <w:r>
        <w:t xml:space="preserve">Meine Kernthese: Bei S. wird Potenzial nicht nur in Aufgaben sichtbar, sondern</w:t>
      </w:r>
      <w:r>
        <w:t xml:space="preserve"> </w:t>
      </w:r>
      <w:r>
        <w:t xml:space="preserve">unter Bedingungen von Sicherheit, Anerkennung und sozialer Teilhabe. Das Plakat</w:t>
      </w:r>
      <w:r>
        <w:t xml:space="preserve"> </w:t>
      </w:r>
      <w:r>
        <w:t xml:space="preserve">zeigt deshalb zuerst Rückzug und Verweigerung, darunter aber die</w:t>
      </w:r>
      <w:r>
        <w:t xml:space="preserve"> </w:t>
      </w:r>
      <w:r>
        <w:t xml:space="preserve">Beziehungsbedingungen des Sichtbarwerdens.</w:t>
      </w:r>
    </w:p>
    <w:p>
      <w:pPr>
        <w:pStyle w:val="BodyText"/>
      </w:pPr>
      <w:r>
        <w:t xml:space="preserve">In der Klassenübergabe erschien S. als</w:t>
      </w:r>
      <w:r>
        <w:t xml:space="preserve"> </w:t>
      </w:r>
      <w:r>
        <w:t xml:space="preserve">“auffällig und störend”</w:t>
      </w:r>
      <w:r>
        <w:t xml:space="preserve">. Im</w:t>
      </w:r>
      <w:r>
        <w:t xml:space="preserve"> </w:t>
      </w:r>
      <w:r>
        <w:t xml:space="preserve">SOLUX zeigt er Schachkompetenz und Konzentration. Nicht ein anderes Kind wird</w:t>
      </w:r>
      <w:r>
        <w:t xml:space="preserve"> </w:t>
      </w:r>
      <w:r>
        <w:t xml:space="preserve">sichtbar, sondern ein anderes Zusammenspiel von Aufgabe, Beziehung und</w:t>
      </w:r>
      <w:r>
        <w:t xml:space="preserve"> </w:t>
      </w:r>
      <w:r>
        <w:t xml:space="preserve">Umweltbedingungen.</w:t>
      </w:r>
    </w:p>
    <w:p>
      <w:pPr>
        <w:pStyle w:val="BodyText"/>
      </w:pPr>
      <w:r>
        <w:t xml:space="preserve">Der erste Filter ist emotionale Sicherheit. Stress bindet Ressourcen</w:t>
      </w:r>
      <w:r>
        <w:t xml:space="preserve"> </w:t>
      </w:r>
      <w:r>
        <w:t xml:space="preserve">(Evers 2025; Kuhl and Hofmann 2019)</w:t>
      </w:r>
      <w:r>
        <w:t xml:space="preserve">.</w:t>
      </w:r>
      <w:r>
        <w:t xml:space="preserve"> </w:t>
      </w:r>
      <w:r>
        <w:t xml:space="preserve">Behrensen (2019)</w:t>
      </w:r>
      <w:r>
        <w:t xml:space="preserve"> </w:t>
      </w:r>
      <w:r>
        <w:t xml:space="preserve">fragt nach dem</w:t>
      </w:r>
      <w:r>
        <w:t xml:space="preserve"> </w:t>
      </w:r>
      <w:r>
        <w:t xml:space="preserve">“guten Grund”</w:t>
      </w:r>
      <w:r>
        <w:t xml:space="preserve"> </w:t>
      </w:r>
      <w:r>
        <w:t xml:space="preserve">für Verhalten: Migration oder</w:t>
      </w:r>
      <w:r>
        <w:t xml:space="preserve"> </w:t>
      </w:r>
      <w:r>
        <w:t xml:space="preserve">Schulbeschämung wirken sich kumulativ aus.</w:t>
      </w:r>
    </w:p>
    <w:p>
      <w:pPr>
        <w:pStyle w:val="BodyText"/>
      </w:pPr>
      <w:r>
        <w:t xml:space="preserve">Der zweite Filter ist Anerkennung.</w:t>
      </w:r>
      <w:r>
        <w:t xml:space="preserve"> </w:t>
      </w:r>
      <w:r>
        <w:t xml:space="preserve">Grossrieder (2010)</w:t>
      </w:r>
      <w:r>
        <w:t xml:space="preserve"> </w:t>
      </w:r>
      <w:r>
        <w:t xml:space="preserve">unterscheidet zwischen Lob und dem respektvollen Blick auf die Person. Ich</w:t>
      </w:r>
      <w:r>
        <w:t xml:space="preserve"> </w:t>
      </w:r>
      <w:r>
        <w:t xml:space="preserve">trenne das Verhalten (auffällig) von der Person (S. als Kompetenzträger).</w:t>
      </w:r>
    </w:p>
    <w:p>
      <w:pPr>
        <w:pStyle w:val="BodyText"/>
      </w:pPr>
      <w:r>
        <w:t xml:space="preserve">Der dritte Filter ist soziale Teilhabe. Teilhabe bedeutet, als</w:t>
      </w:r>
      <w:r>
        <w:t xml:space="preserve"> </w:t>
      </w:r>
      <w:r>
        <w:t xml:space="preserve">Lernpartner wahrgenommen zu werden</w:t>
      </w:r>
      <w:r>
        <w:t xml:space="preserve"> </w:t>
      </w:r>
      <w:r>
        <w:t xml:space="preserve">(Kessels and Hannover 2015; Baumert 2022)</w:t>
      </w:r>
      <w:r>
        <w:t xml:space="preserve">.</w:t>
      </w:r>
      <w:r>
        <w:t xml:space="preserve"> </w:t>
      </w:r>
      <w:r>
        <w:t xml:space="preserve">Tschopp et al. (2022)</w:t>
      </w:r>
      <w:r>
        <w:t xml:space="preserve"> </w:t>
      </w:r>
      <w:r>
        <w:t xml:space="preserve">zeigen, dass</w:t>
      </w:r>
      <w:r>
        <w:t xml:space="preserve"> </w:t>
      </w:r>
      <w:r>
        <w:t xml:space="preserve">strukturiertes kooperatives Lernen den Status anhebt.</w:t>
      </w:r>
    </w:p>
    <w:p>
      <w:pPr>
        <w:pStyle w:val="BodyText"/>
      </w:pPr>
      <w:r>
        <w:t xml:space="preserve">Begabungsbilder sind hier zentral:</w:t>
      </w:r>
      <w:r>
        <w:t xml:space="preserve"> </w:t>
      </w:r>
      <w:r>
        <w:t xml:space="preserve">Baudson (2021)</w:t>
      </w:r>
      <w:r>
        <w:t xml:space="preserve"> </w:t>
      </w:r>
      <w:r>
        <w:t xml:space="preserve">warnt vor</w:t>
      </w:r>
      <w:r>
        <w:t xml:space="preserve"> </w:t>
      </w:r>
      <w:r>
        <w:t xml:space="preserve">stereotypen Erwartungen, während</w:t>
      </w:r>
      <w:r>
        <w:t xml:space="preserve"> </w:t>
      </w:r>
      <w:r>
        <w:t xml:space="preserve">Wagner (2021)</w:t>
      </w:r>
      <w:r>
        <w:t xml:space="preserve"> </w:t>
      </w:r>
      <w:r>
        <w:t xml:space="preserve">aufzeigt, wie soziale Anerkennungsprozesse Begabung erst ermöglichen können.</w:t>
      </w:r>
    </w:p>
    <w:p>
      <w:pPr>
        <w:pStyle w:val="BodyText"/>
      </w:pPr>
      <w:r>
        <w:t xml:space="preserve">Ein konkretes Peer-Arrangement bei S.: Schach bietet eine natürliche</w:t>
      </w:r>
      <w:r>
        <w:t xml:space="preserve"> </w:t>
      </w:r>
      <w:r>
        <w:t xml:space="preserve">Statusressource. Im SOLUX kann S. als kompetenter Mitspieler wahrgenommen werden</w:t>
      </w:r>
      <w:r>
        <w:t xml:space="preserve"> </w:t>
      </w:r>
      <w:r>
        <w:t xml:space="preserve">– unabhängig von Sprachstand oder Schulleistung. Das verändert die soziale</w:t>
      </w:r>
      <w:r>
        <w:t xml:space="preserve"> </w:t>
      </w:r>
      <w:r>
        <w:t xml:space="preserve">Dynamik in der Gruppe messbar</w:t>
      </w:r>
      <w:r>
        <w:t xml:space="preserve"> </w:t>
      </w:r>
      <w:r>
        <w:t xml:space="preserve">(Tschopp et al. 2022)</w:t>
      </w:r>
      <w:r>
        <w:t xml:space="preserve">.</w:t>
      </w:r>
    </w:p>
    <w:p>
      <w:pPr>
        <w:pStyle w:val="BodyText"/>
      </w:pPr>
      <w:r>
        <w:t xml:space="preserve">Beziehung vor Anforderung heisst nicht Anforderungsverzicht. Ich schaffe</w:t>
      </w:r>
      <w:r>
        <w:t xml:space="preserve"> </w:t>
      </w:r>
      <w:r>
        <w:t xml:space="preserve">Bedingungen, unter denen Anforderung wieder erreichbar wird: verlässliche</w:t>
      </w:r>
      <w:r>
        <w:t xml:space="preserve"> </w:t>
      </w:r>
      <w:r>
        <w:t xml:space="preserve">Beziehung, nonverbale Beteiligung und strukturierte Peer-Arrangements.</w:t>
      </w:r>
    </w:p>
    <w:p>
      <w:pPr>
        <w:pStyle w:val="BodyText"/>
      </w:pPr>
      <w:r>
        <w:t xml:space="preserve">Je nach Ergänzungsfrage würde ich vertiefen, ob Sicherheit eher über</w:t>
      </w:r>
      <w:r>
        <w:t xml:space="preserve"> </w:t>
      </w:r>
      <w:r>
        <w:t xml:space="preserve">individuelle Beziehungsgestaltung oder über strukturierte Peer-Arrangements</w:t>
      </w:r>
      <w:r>
        <w:t xml:space="preserve"> </w:t>
      </w:r>
      <w:r>
        <w:t xml:space="preserve">aufgebaut wird. Beides ist bei S. nicht alternativ, sondern komplementär.</w:t>
      </w:r>
    </w:p>
    <w:p>
      <w:pPr>
        <w:pStyle w:val="BodyText"/>
      </w:pPr>
      <w:r>
        <w:rPr>
          <w:b/>
          <w:bCs/>
        </w:rPr>
        <w:t xml:space="preserve">Schlusssatz:</w:t>
      </w:r>
      <w:r>
        <w:t xml:space="preserve"> </w:t>
      </w:r>
      <w:r>
        <w:t xml:space="preserve">Der professionelle Kern liegt nicht in der Frage, ob S.</w:t>
      </w:r>
      <w:r>
        <w:t xml:space="preserve"> </w:t>
      </w:r>
      <w:r>
        <w:t xml:space="preserve">schwierig ist. Er liegt darin, unter welchen relationalen Bedingungen sein</w:t>
      </w:r>
      <w:r>
        <w:t xml:space="preserve"> </w:t>
      </w:r>
      <w:r>
        <w:t xml:space="preserve">Potenzial sichtbar wird – und wie ich diese Bedingungen aktiv mitgestalte.</w:t>
      </w:r>
    </w:p>
    <w:bookmarkEnd w:id="13"/>
    <w:bookmarkStart w:id="14" w:name="sec:vortrag4"/>
    <w:p>
      <w:pPr>
        <w:pStyle w:val="Heading1"/>
      </w:pPr>
      <w:r>
        <w:t xml:space="preserve">Vortrag 4: Sichtbar machen</w:t>
      </w:r>
    </w:p>
    <w:p>
      <w:pPr>
        <w:pStyle w:val="BlockText"/>
      </w:pPr>
      <w:r>
        <w:rPr>
          <w:i/>
          <w:iCs/>
        </w:rPr>
        <w:t xml:space="preserve">Inwiefern können offene, enrichment-orientierte Begabungsförderungssettings wie</w:t>
      </w:r>
      <w:r>
        <w:rPr>
          <w:i/>
          <w:iCs/>
        </w:rPr>
        <w:t xml:space="preserve"> </w:t>
      </w:r>
      <w:r>
        <w:rPr>
          <w:i/>
          <w:iCs/>
        </w:rPr>
        <w:t xml:space="preserve">SOLUX Potenziale sichtbar machen, die im Regelunterricht systematisch übersehen</w:t>
      </w:r>
      <w:r>
        <w:rPr>
          <w:i/>
          <w:iCs/>
        </w:rPr>
        <w:t xml:space="preserve"> </w:t>
      </w:r>
      <w:r>
        <w:rPr>
          <w:i/>
          <w:iCs/>
        </w:rPr>
        <w:t xml:space="preserve">werden?</w:t>
      </w:r>
    </w:p>
    <w:p>
      <w:pPr>
        <w:pStyle w:val="FirstParagraph"/>
      </w:pPr>
      <w:r>
        <w:t xml:space="preserve">Im Zentrum meiner Argumentation steht SOLUX als diagnostisches Fenster. Dieses</w:t>
      </w:r>
      <w:r>
        <w:t xml:space="preserve"> </w:t>
      </w:r>
      <w:r>
        <w:t xml:space="preserve">Zentrum ist auf dem Plakat bewusst nicht zugedeckt, weil hier die Grundthese</w:t>
      </w:r>
      <w:r>
        <w:t xml:space="preserve"> </w:t>
      </w:r>
      <w:r>
        <w:t xml:space="preserve">gilt: Begabung wird nicht erzeugt, sie wird unter passenden Bedingungen</w:t>
      </w:r>
      <w:r>
        <w:t xml:space="preserve"> </w:t>
      </w:r>
      <w:r>
        <w:t xml:space="preserve">sichtbar.</w:t>
      </w:r>
    </w:p>
    <w:p>
      <w:pPr>
        <w:pStyle w:val="BodyText"/>
      </w:pPr>
      <w:r>
        <w:t xml:space="preserve">Im Regelunterricht erscheint S. durch Schwierigkeiten, im SOLUX durch</w:t>
      </w:r>
      <w:r>
        <w:t xml:space="preserve"> </w:t>
      </w:r>
      <w:r>
        <w:t xml:space="preserve">strategisches Denken und Konzentration. Das Setting verändert, was sichtbar</w:t>
      </w:r>
      <w:r>
        <w:t xml:space="preserve"> </w:t>
      </w:r>
      <w:r>
        <w:t xml:space="preserve">wird. SOLUX erzeugt keine Begabung im Sinne einer neuen Eigenschaft; es</w:t>
      </w:r>
      <w:r>
        <w:t xml:space="preserve"> </w:t>
      </w:r>
      <w:r>
        <w:t xml:space="preserve">verändert die Performanzbedingungen so, dass vorhandenes Potenzial beobachtbar</w:t>
      </w:r>
      <w:r>
        <w:t xml:space="preserve"> </w:t>
      </w:r>
      <w:r>
        <w:t xml:space="preserve">wird.</w:t>
      </w:r>
    </w:p>
    <w:p>
      <w:pPr>
        <w:pStyle w:val="BodyText"/>
      </w:pPr>
      <w:r>
        <w:t xml:space="preserve">Theoretisch stütze ich mich auf ein systemisches Begabungsverständnis</w:t>
      </w:r>
      <w:r>
        <w:t xml:space="preserve"> </w:t>
      </w:r>
      <w:r>
        <w:t xml:space="preserve">(Hoyer et al. 2013; V. Müller-Oppliger 2021b)</w:t>
      </w:r>
      <w:r>
        <w:t xml:space="preserve">. Das</w:t>
      </w:r>
      <w:r>
        <w:t xml:space="preserve"> </w:t>
      </w:r>
      <w:r>
        <w:t xml:space="preserve">Schoolwide Enrichment Model schafft Räume, in denen Potenziale erst beobachtbar</w:t>
      </w:r>
      <w:r>
        <w:t xml:space="preserve"> </w:t>
      </w:r>
      <w:r>
        <w:t xml:space="preserve">werden</w:t>
      </w:r>
      <w:r>
        <w:t xml:space="preserve"> </w:t>
      </w:r>
      <w:r>
        <w:t xml:space="preserve">(Reis et al. 2021)</w:t>
      </w:r>
      <w:r>
        <w:t xml:space="preserve">.</w:t>
      </w:r>
    </w:p>
    <w:p>
      <w:pPr>
        <w:pStyle w:val="BodyText"/>
      </w:pPr>
      <w:r>
        <w:t xml:space="preserve">Das Fenster zeigt vier Merkmale, die im Regelunterricht oft fehlen:</w:t>
      </w:r>
      <w:r>
        <w:t xml:space="preserve"> </w:t>
      </w:r>
      <w:r>
        <w:t xml:space="preserve">1. Interessenorientierung: Schach koppelt Motivation und strategisches Denken</w:t>
      </w:r>
      <w:r>
        <w:t xml:space="preserve"> </w:t>
      </w:r>
      <w:r>
        <w:t xml:space="preserve">so, dass S. nicht über Sprache oder Schrift, sondern über Problemlösen</w:t>
      </w:r>
      <w:r>
        <w:t xml:space="preserve"> </w:t>
      </w:r>
      <w:r>
        <w:t xml:space="preserve">zugänglich wird.</w:t>
      </w:r>
      <w:r>
        <w:t xml:space="preserve"> </w:t>
      </w:r>
      <w:r>
        <w:t xml:space="preserve">2. Notenfreiheit: Beobachtbar werden Strategie und Prozessqualität statt</w:t>
      </w:r>
      <w:r>
        <w:t xml:space="preserve"> </w:t>
      </w:r>
      <w:r>
        <w:t xml:space="preserve">Ziffern. Das entlastet und öffnet zugleich den diagnostischen Blick.</w:t>
      </w:r>
      <w:r>
        <w:t xml:space="preserve"> </w:t>
      </w:r>
      <w:r>
        <w:t xml:space="preserve">3. Adaptivität: Sprachliche Entlastung ermöglicht kognitive Teilhabe</w:t>
      </w:r>
      <w:r>
        <w:t xml:space="preserve"> </w:t>
      </w:r>
      <w:r>
        <w:t xml:space="preserve">(V. Müller-Oppliger 2021a)</w:t>
      </w:r>
      <w:r>
        <w:t xml:space="preserve">. S. kann zeigen, was er denkt, weil er</w:t>
      </w:r>
      <w:r>
        <w:t xml:space="preserve"> </w:t>
      </w:r>
      <w:r>
        <w:t xml:space="preserve">nicht zuerst beweisen muss, was er schreiben kann.</w:t>
      </w:r>
      <w:r>
        <w:t xml:space="preserve"> </w:t>
      </w:r>
      <w:r>
        <w:t xml:space="preserve">4. Dokumentation: Beobachtung muss in den Förderprozess fliessen, sonst bleibt</w:t>
      </w:r>
      <w:r>
        <w:t xml:space="preserve"> </w:t>
      </w:r>
      <w:r>
        <w:t xml:space="preserve">SOLUX eine Insel</w:t>
      </w:r>
      <w:r>
        <w:t xml:space="preserve"> </w:t>
      </w:r>
      <w:r>
        <w:t xml:space="preserve">(S. Müller-Oppliger 2021)</w:t>
      </w:r>
      <w:r>
        <w:t xml:space="preserve">. Ich halte</w:t>
      </w:r>
      <w:r>
        <w:t xml:space="preserve"> </w:t>
      </w:r>
      <w:r>
        <w:t xml:space="preserve">fest: welche Aufgaben, welche Interaktionen, welche Denkwege.</w:t>
      </w:r>
    </w:p>
    <w:p>
      <w:pPr>
        <w:pStyle w:val="BodyText"/>
      </w:pPr>
      <w:r>
        <w:t xml:space="preserve">Die Chimäre auf dem Plakat symbolisiert die mehrperspektivische Begabung</w:t>
      </w:r>
      <w:r>
        <w:t xml:space="preserve"> </w:t>
      </w:r>
      <w:r>
        <w:t xml:space="preserve">jenseits eindimensionaler Lesarten. Sie steht für die Spannung zwischen dem,</w:t>
      </w:r>
      <w:r>
        <w:t xml:space="preserve"> </w:t>
      </w:r>
      <w:r>
        <w:t xml:space="preserve">was der Regelunterricht sieht, und dem, was unter anderen Bedingungen sichtbar</w:t>
      </w:r>
      <w:r>
        <w:t xml:space="preserve"> </w:t>
      </w:r>
      <w:r>
        <w:t xml:space="preserve">wird. Das ist keine romantisierende Figur, sondern ein Schutz vor</w:t>
      </w:r>
      <w:r>
        <w:t xml:space="preserve"> </w:t>
      </w:r>
      <w:r>
        <w:t xml:space="preserve">vorschneller Kategorisierung. Bildungsgerechtigkeit verlangt, dass diese Spannung</w:t>
      </w:r>
      <w:r>
        <w:t xml:space="preserve"> </w:t>
      </w:r>
      <w:r>
        <w:t xml:space="preserve">ausgehalten und diagnostisch genutzt wird</w:t>
      </w:r>
      <w:r>
        <w:t xml:space="preserve"> </w:t>
      </w:r>
      <w:r>
        <w:t xml:space="preserve">(Sedmak and Kapferer 2021; V. Müller-Oppliger 2021c)</w:t>
      </w:r>
      <w:r>
        <w:t xml:space="preserve">.</w:t>
      </w:r>
    </w:p>
    <w:p>
      <w:pPr>
        <w:pStyle w:val="BodyText"/>
      </w:pPr>
      <w:r>
        <w:t xml:space="preserve">SOLUX ist kein standardisierter Intelligenztest. Seine Stärke liegt in der</w:t>
      </w:r>
      <w:r>
        <w:t xml:space="preserve"> </w:t>
      </w:r>
      <w:r>
        <w:t xml:space="preserve">Beobachtung von Denkwegen; deshalb müssen die Beobachtungen kriteriengestützt</w:t>
      </w:r>
      <w:r>
        <w:t xml:space="preserve"> </w:t>
      </w:r>
      <w:r>
        <w:t xml:space="preserve">dokumentiert und mit anderen Daten trianguliert werden.</w:t>
      </w:r>
    </w:p>
    <w:p>
      <w:pPr>
        <w:pStyle w:val="BodyText"/>
      </w:pPr>
      <w:r>
        <w:t xml:space="preserve">Je nach Ergänzungsfrage würde ich zeigen, wie SOLUX-Beobachtungen</w:t>
      </w:r>
      <w:r>
        <w:t xml:space="preserve"> </w:t>
      </w:r>
      <w:r>
        <w:t xml:space="preserve">kriteriengestützt dokumentiert und in Förderplanung oder Übertrittsgespräche</w:t>
      </w:r>
      <w:r>
        <w:t xml:space="preserve"> </w:t>
      </w:r>
      <w:r>
        <w:t xml:space="preserve">überführt werden – damit das Fenster kein Momentbefund bleibt.</w:t>
      </w:r>
    </w:p>
    <w:p>
      <w:pPr>
        <w:pStyle w:val="BodyText"/>
      </w:pPr>
      <w:r>
        <w:rPr>
          <w:b/>
          <w:bCs/>
        </w:rPr>
        <w:t xml:space="preserve">Schlusssatz:</w:t>
      </w:r>
      <w:r>
        <w:t xml:space="preserve"> </w:t>
      </w:r>
      <w:r>
        <w:t xml:space="preserve">Der Kern liegt nicht in der Frage, ob SOLUX ein schönes</w:t>
      </w:r>
      <w:r>
        <w:t xml:space="preserve"> </w:t>
      </w:r>
      <w:r>
        <w:t xml:space="preserve">Projekt ist. Entscheidend ist, wie wir Bedingungen schaffen, unter denen das</w:t>
      </w:r>
      <w:r>
        <w:t xml:space="preserve"> </w:t>
      </w:r>
      <w:r>
        <w:t xml:space="preserve">kognitive Potenzial von S. beobachtbar und förderdiagnostisch nutzbar wird.</w:t>
      </w:r>
    </w:p>
    <w:bookmarkEnd w:id="14"/>
    <w:bookmarkStart w:id="15" w:name="sec:vortrag5"/>
    <w:p>
      <w:pPr>
        <w:pStyle w:val="Heading1"/>
      </w:pPr>
      <w:r>
        <w:t xml:space="preserve">Vortrag 5: Sichern</w:t>
      </w:r>
    </w:p>
    <w:p>
      <w:pPr>
        <w:pStyle w:val="BlockText"/>
      </w:pPr>
      <w:r>
        <w:rPr>
          <w:i/>
          <w:iCs/>
        </w:rPr>
        <w:t xml:space="preserve">Wie gestalte ich als SHP Beratung und Zusammenarbeit so, dass defizitorientierte</w:t>
      </w:r>
      <w:r>
        <w:rPr>
          <w:i/>
          <w:iCs/>
        </w:rPr>
        <w:t xml:space="preserve"> </w:t>
      </w:r>
      <w:r>
        <w:rPr>
          <w:i/>
          <w:iCs/>
        </w:rPr>
        <w:t xml:space="preserve">Wahrnehmungen von Schüler:innen mit verdeckten Begabungen gemeinsam reflektiert</w:t>
      </w:r>
      <w:r>
        <w:rPr>
          <w:i/>
          <w:iCs/>
        </w:rPr>
        <w:t xml:space="preserve"> </w:t>
      </w:r>
      <w:r>
        <w:rPr>
          <w:i/>
          <w:iCs/>
        </w:rPr>
        <w:t xml:space="preserve">und ressourcenorientiert erweitert werden?</w:t>
      </w:r>
    </w:p>
    <w:p>
      <w:pPr>
        <w:pStyle w:val="FirstParagraph"/>
      </w:pPr>
      <w:r>
        <w:t xml:space="preserve">Meine Kernfrage: Wie wird das in SOLUX sichtbar gewordene Potenzial im System</w:t>
      </w:r>
      <w:r>
        <w:t xml:space="preserve"> </w:t>
      </w:r>
      <w:r>
        <w:t xml:space="preserve">gesichert? Ich arbeite als SHP nicht gegen das Team, sondern gegen eine</w:t>
      </w:r>
      <w:r>
        <w:t xml:space="preserve"> </w:t>
      </w:r>
      <w:r>
        <w:t xml:space="preserve">verengte Datenbasis.</w:t>
      </w:r>
    </w:p>
    <w:p>
      <w:pPr>
        <w:pStyle w:val="BodyText"/>
      </w:pPr>
      <w:r>
        <w:t xml:space="preserve">Der Deckel zeigt die Gefahr: Abwarten, Defizitblick, verengte Wahrnehmung. Bei</w:t>
      </w:r>
      <w:r>
        <w:t xml:space="preserve"> </w:t>
      </w:r>
      <w:r>
        <w:t xml:space="preserve">S. war das konkret: In der Übergabe erschien er als auffällig, weinerlich,</w:t>
      </w:r>
      <w:r>
        <w:t xml:space="preserve"> </w:t>
      </w:r>
      <w:r>
        <w:t xml:space="preserve">störend. Die Empfehlung zum Abwarten war als Momentaufnahme nachvollziehbar.</w:t>
      </w:r>
      <w:r>
        <w:t xml:space="preserve"> </w:t>
      </w:r>
      <w:r>
        <w:t xml:space="preserve">Förderdiagnostisch wird sie aber problematisch, wenn dadurch keine weiteren</w:t>
      </w:r>
      <w:r>
        <w:t xml:space="preserve"> </w:t>
      </w:r>
      <w:r>
        <w:t xml:space="preserve">Beobachtungen gesichert werden. Meine Aufgabe als SHP ist deshalb nicht</w:t>
      </w:r>
      <w:r>
        <w:t xml:space="preserve"> </w:t>
      </w:r>
      <w:r>
        <w:t xml:space="preserve">Widerspruch um des Widerspruchs willen, sondern Erweiterung der Datenbasis.</w:t>
      </w:r>
    </w:p>
    <w:p>
      <w:pPr>
        <w:pStyle w:val="BodyText"/>
      </w:pPr>
      <w:r>
        <w:t xml:space="preserve">Der Leuchtturm auf dem Plakat steht für die professionelle Orientierungsfunktion.</w:t>
      </w:r>
      <w:r>
        <w:t xml:space="preserve"> </w:t>
      </w:r>
      <w:r>
        <w:t xml:space="preserve">Die SHP beleuchtet: Welche Beobachtungen liegen vor? Welche Deutungsmuster</w:t>
      </w:r>
      <w:r>
        <w:t xml:space="preserve"> </w:t>
      </w:r>
      <w:r>
        <w:t xml:space="preserve">strukturieren unseren Blick? Und welche blinden Flecken entstehen dabei? Begabte</w:t>
      </w:r>
      <w:r>
        <w:t xml:space="preserve"> </w:t>
      </w:r>
      <w:r>
        <w:t xml:space="preserve">Underachiever und Kinder aus unterrepräsentierten Gruppen werden leicht</w:t>
      </w:r>
      <w:r>
        <w:t xml:space="preserve"> </w:t>
      </w:r>
      <w:r>
        <w:t xml:space="preserve">übersehen, wenn Schulleistung, Sprache und Anpassung dominieren</w:t>
      </w:r>
      <w:r>
        <w:t xml:space="preserve"> </w:t>
      </w:r>
      <w:r>
        <w:t xml:space="preserve">(Baudson 2025)</w:t>
      </w:r>
      <w:r>
        <w:t xml:space="preserve">. Der Leuchtturm bringt Orientierung durch</w:t>
      </w:r>
      <w:r>
        <w:t xml:space="preserve"> </w:t>
      </w:r>
      <w:r>
        <w:t xml:space="preserve">strukturierte Reflexion, nicht durch Behauptung.</w:t>
      </w:r>
    </w:p>
    <w:p>
      <w:pPr>
        <w:pStyle w:val="BodyText"/>
      </w:pPr>
      <w:r>
        <w:t xml:space="preserve">Wenn ich den Deckel öffne, erscheint die SHP-Trias.</w:t>
      </w:r>
    </w:p>
    <w:p>
      <w:pPr>
        <w:pStyle w:val="BodyText"/>
      </w:pPr>
      <w:r>
        <w:t xml:space="preserve">Der erste Pfeiler ist fachliche Unabhängigkeit. Das Personenprinzip nach</w:t>
      </w:r>
      <w:r>
        <w:t xml:space="preserve"> </w:t>
      </w:r>
      <w:r>
        <w:t xml:space="preserve">Weigand (2021)</w:t>
      </w:r>
      <w:r>
        <w:t xml:space="preserve"> </w:t>
      </w:r>
      <w:r>
        <w:t xml:space="preserve">hält S. vor jeder Kategorisierung zunächst als</w:t>
      </w:r>
      <w:r>
        <w:t xml:space="preserve"> </w:t>
      </w:r>
      <w:r>
        <w:t xml:space="preserve">Person: weder auf Migration oder Verhalten reduziert noch vorschnell auf</w:t>
      </w:r>
      <w:r>
        <w:t xml:space="preserve"> </w:t>
      </w:r>
      <w:r>
        <w:t xml:space="preserve">Hochbegabung festgelegt. Ich übernehme die dominante Teamdeutung nicht</w:t>
      </w:r>
      <w:r>
        <w:t xml:space="preserve"> </w:t>
      </w:r>
      <w:r>
        <w:t xml:space="preserve">ungeprüft, sondern irritiere sie begründet durch weitere Beobachtungen.</w:t>
      </w:r>
    </w:p>
    <w:p>
      <w:pPr>
        <w:pStyle w:val="BodyText"/>
      </w:pPr>
      <w:r>
        <w:t xml:space="preserve">Der zweite Pfeiler ist institutionelle Wachsamkeit.</w:t>
      </w:r>
      <w:r>
        <w:t xml:space="preserve"> </w:t>
      </w:r>
      <w:r>
        <w:t xml:space="preserve">Horvath (2021)</w:t>
      </w:r>
      <w:r>
        <w:t xml:space="preserve"> </w:t>
      </w:r>
      <w:r>
        <w:t xml:space="preserve">hilft, Defizitorientierung nicht zu moralisieren,</w:t>
      </w:r>
      <w:r>
        <w:t xml:space="preserve"> </w:t>
      </w:r>
      <w:r>
        <w:t xml:space="preserve">sondern als mögliche Folge institutioneller Routinen und sozialer Ungleichheit</w:t>
      </w:r>
      <w:r>
        <w:t xml:space="preserve"> </w:t>
      </w:r>
      <w:r>
        <w:t xml:space="preserve">zu verstehen. Gerade bei S. bündeln sich Merkmale, die Schule oft schlecht</w:t>
      </w:r>
      <w:r>
        <w:t xml:space="preserve"> </w:t>
      </w:r>
      <w:r>
        <w:t xml:space="preserve">sieht: Migration, Deutsch als Zweitsprache, graphomotorische Schwierigkeiten,</w:t>
      </w:r>
      <w:r>
        <w:t xml:space="preserve"> </w:t>
      </w:r>
      <w:r>
        <w:t xml:space="preserve">soziale Unsicherheit und auffälliges Verhalten.</w:t>
      </w:r>
      <w:r>
        <w:t xml:space="preserve"> </w:t>
      </w:r>
      <w:r>
        <w:t xml:space="preserve">Macha (2019)</w:t>
      </w:r>
      <w:r>
        <w:t xml:space="preserve"> </w:t>
      </w:r>
      <w:r>
        <w:t xml:space="preserve">zeigt, dass implizite Bilder von Begabung und</w:t>
      </w:r>
      <w:r>
        <w:t xml:space="preserve"> </w:t>
      </w:r>
      <w:r>
        <w:t xml:space="preserve">Normalität professionell reflektiert werden müssen. Deshalb frage ich im Team</w:t>
      </w:r>
      <w:r>
        <w:t xml:space="preserve"> </w:t>
      </w:r>
      <w:r>
        <w:t xml:space="preserve">nicht:</w:t>
      </w:r>
      <w:r>
        <w:t xml:space="preserve"> </w:t>
      </w:r>
      <w:r>
        <w:t xml:space="preserve">“Ihr seht S. falsch.”</w:t>
      </w:r>
      <w:r>
        <w:t xml:space="preserve"> </w:t>
      </w:r>
      <w:r>
        <w:t xml:space="preserve">Ich frage:</w:t>
      </w:r>
      <w:r>
        <w:t xml:space="preserve"> </w:t>
      </w:r>
      <w:r>
        <w:t xml:space="preserve">“Was wird nicht</w:t>
      </w:r>
      <w:r>
        <w:t xml:space="preserve"> </w:t>
      </w:r>
      <w:r>
        <w:t xml:space="preserve">sichtbar, wenn wir nur auf das Störende schauen?”</w:t>
      </w:r>
    </w:p>
    <w:p>
      <w:pPr>
        <w:pStyle w:val="BodyText"/>
      </w:pPr>
      <w:r>
        <w:t xml:space="preserve">Der dritte Pfeiler ist reflexive Partnerschaftlichkeit. Beratung darf nicht als</w:t>
      </w:r>
      <w:r>
        <w:t xml:space="preserve"> </w:t>
      </w:r>
      <w:r>
        <w:t xml:space="preserve">Belehrung auftreten. Zusammenarbeit wird tragfähig, wenn Fachpersonen gemeinsam</w:t>
      </w:r>
      <w:r>
        <w:t xml:space="preserve"> </w:t>
      </w:r>
      <w:r>
        <w:t xml:space="preserve">ein differenzierteres Fallverständnis entwickeln; Kokonstruktion geht über reine</w:t>
      </w:r>
      <w:r>
        <w:t xml:space="preserve"> </w:t>
      </w:r>
      <w:r>
        <w:t xml:space="preserve">Arbeitsteilung hinaus</w:t>
      </w:r>
      <w:r>
        <w:t xml:space="preserve"> </w:t>
      </w:r>
      <w:r>
        <w:t xml:space="preserve">(Grosche et al. 2020)</w:t>
      </w:r>
      <w:r>
        <w:t xml:space="preserve">. Die</w:t>
      </w:r>
      <w:r>
        <w:t xml:space="preserve"> </w:t>
      </w:r>
      <w:r>
        <w:t xml:space="preserve">Kontrastfrage lautet: Was ist an SOLUX anders, dass S. dort Stärken zeigt? Diese</w:t>
      </w:r>
      <w:r>
        <w:t xml:space="preserve"> </w:t>
      </w:r>
      <w:r>
        <w:t xml:space="preserve">Frage verbindet Frage 5 direkt mit dem Zentrum des Plakats.</w:t>
      </w:r>
      <w:r>
        <w:t xml:space="preserve"> </w:t>
      </w:r>
      <w:r>
        <w:t xml:space="preserve">SOLUX-Beobachtungen ergänzen das Bild.</w:t>
      </w:r>
    </w:p>
    <w:p>
      <w:pPr>
        <w:pStyle w:val="BodyText"/>
      </w:pPr>
      <w:r>
        <w:t xml:space="preserve">Unter der Trias zeigt das Plakat vier Handlungsschritte. Erstens: Beobachtungen</w:t>
      </w:r>
      <w:r>
        <w:t xml:space="preserve"> </w:t>
      </w:r>
      <w:r>
        <w:t xml:space="preserve">sichern – aus SOLUX, Regelunterricht, DaZ, SPD, PMT, Eltern und biografischen</w:t>
      </w:r>
      <w:r>
        <w:t xml:space="preserve"> </w:t>
      </w:r>
      <w:r>
        <w:t xml:space="preserve">Gesprächen. Zweitens: die genannte Kontrastfrage einbringen, nicht als</w:t>
      </w:r>
      <w:r>
        <w:t xml:space="preserve"> </w:t>
      </w:r>
      <w:r>
        <w:t xml:space="preserve">Gegenbeweis, sondern als Öffnung. Drittens: Barrieren analysieren mit Universal</w:t>
      </w:r>
      <w:r>
        <w:t xml:space="preserve"> </w:t>
      </w:r>
      <w:r>
        <w:t xml:space="preserve">Design for Learning: Welche Zugänge, Ausdrucksformen und Beteiligungsmöglichkeiten</w:t>
      </w:r>
      <w:r>
        <w:t xml:space="preserve"> </w:t>
      </w:r>
      <w:r>
        <w:t xml:space="preserve">bietet der Unterricht, welche versperrt er? UDL hilft, didaktische</w:t>
      </w:r>
      <w:r>
        <w:t xml:space="preserve"> </w:t>
      </w:r>
      <w:r>
        <w:t xml:space="preserve">Zugänglichkeit systematisch zu prüfen</w:t>
      </w:r>
      <w:r>
        <w:t xml:space="preserve"> </w:t>
      </w:r>
      <w:r>
        <w:t xml:space="preserve">(Müller Bösch and Schaffner Menn 2021)</w:t>
      </w:r>
      <w:r>
        <w:t xml:space="preserve">. Viertens: Förderplanung gemeinsam</w:t>
      </w:r>
      <w:r>
        <w:t xml:space="preserve"> </w:t>
      </w:r>
      <w:r>
        <w:t xml:space="preserve">entwickeln, mit Klassenlehrperson, SHP, DaZ, Fachstellen, Schulleitung und</w:t>
      </w:r>
      <w:r>
        <w:t xml:space="preserve"> </w:t>
      </w:r>
      <w:r>
        <w:t xml:space="preserve">Eltern. Multiprofessionelle Kooperation braucht Rollenklarheit, verbindliche</w:t>
      </w:r>
      <w:r>
        <w:t xml:space="preserve"> </w:t>
      </w:r>
      <w:r>
        <w:t xml:space="preserve">Strukturen und eine gemeinsame Zielorientierung</w:t>
      </w:r>
      <w:r>
        <w:t xml:space="preserve"> </w:t>
      </w:r>
      <w:r>
        <w:t xml:space="preserve">(Widmer-Wolf 2018; Nguyen and Sliwka 2021)</w:t>
      </w:r>
      <w:r>
        <w:t xml:space="preserve">.</w:t>
      </w:r>
    </w:p>
    <w:p>
      <w:pPr>
        <w:pStyle w:val="BodyText"/>
      </w:pPr>
      <w:r>
        <w:t xml:space="preserve">Gerade die Eltern gehören ins Netzwerk. Sie sind nicht nur Adressat:innen,</w:t>
      </w:r>
      <w:r>
        <w:t xml:space="preserve"> </w:t>
      </w:r>
      <w:r>
        <w:t xml:space="preserve">sondern Wissensquelle. Bei S. wurden Mobbingerfahrungen und der möglicherweise</w:t>
      </w:r>
      <w:r>
        <w:t xml:space="preserve"> </w:t>
      </w:r>
      <w:r>
        <w:t xml:space="preserve">unterbrochene Schriftspracherwerb erst durch ein strukturiertes, sprachlich</w:t>
      </w:r>
      <w:r>
        <w:t xml:space="preserve"> </w:t>
      </w:r>
      <w:r>
        <w:t xml:space="preserve">gesichertes Gespräch verständlich. Elternwissen ist damit kein Zusatz, sondern</w:t>
      </w:r>
      <w:r>
        <w:t xml:space="preserve"> </w:t>
      </w:r>
      <w:r>
        <w:t xml:space="preserve">Teil einer vollständigen Förderdiagnostik</w:t>
      </w:r>
      <w:r>
        <w:t xml:space="preserve"> </w:t>
      </w:r>
      <w:r>
        <w:t xml:space="preserve">(Košorok Labhart et al. 2021)</w:t>
      </w:r>
      <w:r>
        <w:t xml:space="preserve">.</w:t>
      </w:r>
    </w:p>
    <w:p>
      <w:pPr>
        <w:pStyle w:val="BodyText"/>
      </w:pPr>
      <w:r>
        <w:t xml:space="preserve">Als SHP darf ich nicht zur Einzelanwältin gegen das Team werden. Meine Aufgabe</w:t>
      </w:r>
      <w:r>
        <w:t xml:space="preserve"> </w:t>
      </w:r>
      <w:r>
        <w:t xml:space="preserve">ist, die Datenbasis zu erweitern und ein gemeinsames Fallverständnis zu</w:t>
      </w:r>
      <w:r>
        <w:t xml:space="preserve"> </w:t>
      </w:r>
      <w:r>
        <w:t xml:space="preserve">ermöglichen.</w:t>
      </w:r>
    </w:p>
    <w:p>
      <w:pPr>
        <w:pStyle w:val="BodyText"/>
      </w:pPr>
      <w:r>
        <w:t xml:space="preserve">Je nach Ergänzungsfrage würde ich vertiefen, wie Beratung ohne Konfrontation</w:t>
      </w:r>
      <w:r>
        <w:t xml:space="preserve"> </w:t>
      </w:r>
      <w:r>
        <w:t xml:space="preserve">gelingt: Die Kontrastfrage – Was ist an SOLUX anders? – öffnet Gespräche,</w:t>
      </w:r>
      <w:r>
        <w:t xml:space="preserve"> </w:t>
      </w:r>
      <w:r>
        <w:t xml:space="preserve">ohne Kolleg:innen zu korrigieren.</w:t>
      </w:r>
    </w:p>
    <w:p>
      <w:pPr>
        <w:pStyle w:val="BodyText"/>
      </w:pPr>
      <w:r>
        <w:rPr>
          <w:b/>
          <w:bCs/>
        </w:rPr>
        <w:t xml:space="preserve">Schlusssatz:</w:t>
      </w:r>
      <w:r>
        <w:t xml:space="preserve"> </w:t>
      </w:r>
      <w:r>
        <w:t xml:space="preserve">Der professionelle Kern liegt nicht darin, das Team zu</w:t>
      </w:r>
      <w:r>
        <w:t xml:space="preserve"> </w:t>
      </w:r>
      <w:r>
        <w:t xml:space="preserve">überreden. Es geht darum, Sichtbarkeit zu sichern: Was nur eine Person sieht,</w:t>
      </w:r>
      <w:r>
        <w:t xml:space="preserve"> </w:t>
      </w:r>
      <w:r>
        <w:t xml:space="preserve">bleibt fragil; was ein Team gemeinsam versteht, kann Bildungswege verändern.</w:t>
      </w:r>
    </w:p>
    <w:bookmarkEnd w:id="15"/>
    <w:bookmarkStart w:id="66" w:name="Xfb3d9a06839e5d951e7c2061f167d69e5a0ef89"/>
    <w:p>
      <w:pPr>
        <w:pStyle w:val="Heading1"/>
      </w:pPr>
      <w:r>
        <w:t xml:space="preserve">Schlussüberleitung für die mündliche Prüfung</w:t>
      </w:r>
    </w:p>
    <w:p>
      <w:pPr>
        <w:pStyle w:val="FirstParagraph"/>
      </w:pPr>
      <w:r>
        <w:t xml:space="preserve">Das Plakat führt damit von der verdeckten Oberfläche zur professionellen</w:t>
      </w:r>
      <w:r>
        <w:t xml:space="preserve"> </w:t>
      </w:r>
      <w:r>
        <w:t xml:space="preserve">Sichtbarkeit: Erkennen überschreitet den ersten Blick. Entlasten baut Zugänge,</w:t>
      </w:r>
      <w:r>
        <w:t xml:space="preserve"> </w:t>
      </w:r>
      <w:r>
        <w:t xml:space="preserve">ohne den Anspruch zu senken. Anerkennen schafft relationale Bedingungen, unter</w:t>
      </w:r>
      <w:r>
        <w:t xml:space="preserve"> </w:t>
      </w:r>
      <w:r>
        <w:t xml:space="preserve">denen Potenzial zeigbar wird. SOLUX macht im Zentrum sichtbar, was im</w:t>
      </w:r>
      <w:r>
        <w:t xml:space="preserve"> </w:t>
      </w:r>
      <w:r>
        <w:t xml:space="preserve">Regelunterricht systematisch verdeckt bleiben kann. Sichern sorgt dafür, dass</w:t>
      </w:r>
      <w:r>
        <w:t xml:space="preserve"> </w:t>
      </w:r>
      <w:r>
        <w:t xml:space="preserve">diese Sichtbarkeit nicht an eine einzelne Person oder ein einzelnes Projekt</w:t>
      </w:r>
      <w:r>
        <w:t xml:space="preserve"> </w:t>
      </w:r>
      <w:r>
        <w:t xml:space="preserve">gebunden bleibt, sondern in Beratung, Kooperation und Förderplanung übergeht.</w:t>
      </w:r>
    </w:p>
    <w:bookmarkStart w:id="65" w:name="refs"/>
    <w:bookmarkStart w:id="16" w:name="ref-baudson2021wasdenken"/>
    <w:p>
      <w:pPr>
        <w:pStyle w:val="Bibliography"/>
      </w:pPr>
      <w:r>
        <w:t xml:space="preserve">Baudson, Tanja Gabriele. 2021.</w:t>
      </w:r>
      <w:r>
        <w:t xml:space="preserve"> </w:t>
      </w:r>
      <w:r>
        <w:t xml:space="preserve">“Was</w:t>
      </w:r>
      <w:r>
        <w:t xml:space="preserve"> </w:t>
      </w:r>
      <w:r>
        <w:t xml:space="preserve">Menschen</w:t>
      </w:r>
      <w:r>
        <w:t xml:space="preserve"> </w:t>
      </w:r>
      <w:r>
        <w:t xml:space="preserve">Über (</w:t>
      </w:r>
      <w:r>
        <w:t xml:space="preserve">Hoch-)Begabung</w:t>
      </w:r>
      <w:r>
        <w:t xml:space="preserve"> </w:t>
      </w:r>
      <w:r>
        <w:t xml:space="preserve">Und (</w:t>
      </w:r>
      <w:r>
        <w:t xml:space="preserve">Hoch-)Begabte</w:t>
      </w:r>
      <w:r>
        <w:t xml:space="preserve"> </w:t>
      </w:r>
      <w:r>
        <w:t xml:space="preserve">Denken:</w:t>
      </w:r>
      <w:r>
        <w:t xml:space="preserve"> </w:t>
      </w:r>
      <w:r>
        <w:t xml:space="preserve">Individuelle</w:t>
      </w:r>
      <w:r>
        <w:t xml:space="preserve"> </w:t>
      </w:r>
      <w:r>
        <w:t xml:space="preserve">Und Soziokulturelle</w:t>
      </w:r>
      <w:r>
        <w:t xml:space="preserve"> </w:t>
      </w:r>
      <w:r>
        <w:t xml:space="preserve">Perspektiven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16"/>
    <w:bookmarkStart w:id="18" w:name="ref-baudson2025besserfinden"/>
    <w:p>
      <w:pPr>
        <w:pStyle w:val="Bibliography"/>
      </w:pPr>
      <w:r>
        <w:t xml:space="preserve">Baudson, Tanja Gabriele. 2025.</w:t>
      </w:r>
      <w:r>
        <w:t xml:space="preserve"> </w:t>
      </w:r>
      <w:r>
        <w:t xml:space="preserve">“Wie wir</w:t>
      </w:r>
      <w:r>
        <w:t xml:space="preserve"> </w:t>
      </w:r>
      <w:r>
        <w:t xml:space="preserve">Begabte</w:t>
      </w:r>
      <w:r>
        <w:t xml:space="preserve"> </w:t>
      </w:r>
      <w:r>
        <w:t xml:space="preserve">besser finden können.”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Was ist fair?</w:t>
      </w:r>
      <w:r>
        <w:rPr>
          <w:i/>
          <w:iCs/>
        </w:rPr>
        <w:t xml:space="preserve"> </w:t>
      </w:r>
      <w:r>
        <w:rPr>
          <w:i/>
          <w:iCs/>
        </w:rPr>
        <w:t xml:space="preserve">Begabungsgerechtigkeit</w:t>
      </w:r>
      <w:r>
        <w:rPr>
          <w:i/>
          <w:iCs/>
        </w:rPr>
        <w:t xml:space="preserve"> </w:t>
      </w:r>
      <w:r>
        <w:rPr>
          <w:i/>
          <w:iCs/>
        </w:rPr>
        <w:t xml:space="preserve">auf dem</w:t>
      </w:r>
      <w:r>
        <w:rPr>
          <w:i/>
          <w:iCs/>
        </w:rPr>
        <w:t xml:space="preserve"> </w:t>
      </w:r>
      <w:r>
        <w:rPr>
          <w:i/>
          <w:iCs/>
        </w:rPr>
        <w:t xml:space="preserve">Prüfstand</w:t>
      </w:r>
      <w:r>
        <w:t xml:space="preserve">, edited by Claudia Pauly. Karg-Stiftung.</w:t>
      </w:r>
      <w:r>
        <w:t xml:space="preserve"> </w:t>
      </w:r>
      <w:hyperlink r:id="rId17">
        <w:r>
          <w:rPr>
            <w:rStyle w:val="Hyperlink"/>
          </w:rPr>
          <w:t xml:space="preserve">https://doi.org/10.25656/01:33972</w:t>
        </w:r>
      </w:hyperlink>
      <w:r>
        <w:t xml:space="preserve">.</w:t>
      </w:r>
    </w:p>
    <w:bookmarkEnd w:id="18"/>
    <w:bookmarkStart w:id="19" w:name="ref-baumschader2021twice"/>
    <w:p>
      <w:pPr>
        <w:pStyle w:val="Bibliography"/>
      </w:pPr>
      <w:r>
        <w:t xml:space="preserve">Baum, Susan, and Robin Schader. 2021.</w:t>
      </w:r>
      <w:r>
        <w:t xml:space="preserve"> </w:t>
      </w:r>
      <w:r>
        <w:t xml:space="preserve">“</w:t>
      </w:r>
      <w:r>
        <w:t xml:space="preserve">‘Twice</w:t>
      </w:r>
      <w:r>
        <w:t xml:space="preserve"> </w:t>
      </w:r>
      <w:r>
        <w:t xml:space="preserve">Exceptionality</w:t>
      </w:r>
      <w:r>
        <w:t xml:space="preserve">’</w:t>
      </w:r>
      <w:r>
        <w:t xml:space="preserve"> </w:t>
      </w:r>
      <w:r>
        <w:t xml:space="preserve">– in Zweifacher</w:t>
      </w:r>
      <w:r>
        <w:t xml:space="preserve"> </w:t>
      </w:r>
      <w:r>
        <w:t xml:space="preserve">Hinsicht</w:t>
      </w:r>
      <w:r>
        <w:t xml:space="preserve"> </w:t>
      </w:r>
      <w:r>
        <w:t xml:space="preserve">Aussergewöhnlich:</w:t>
      </w:r>
      <w:r>
        <w:t xml:space="preserve"> </w:t>
      </w:r>
      <w:r>
        <w:t xml:space="preserve">Geschichte</w:t>
      </w:r>
      <w:r>
        <w:t xml:space="preserve">,</w:t>
      </w:r>
      <w:r>
        <w:t xml:space="preserve"> </w:t>
      </w:r>
      <w:r>
        <w:t xml:space="preserve">Charakteristika</w:t>
      </w:r>
      <w:r>
        <w:t xml:space="preserve"> </w:t>
      </w:r>
      <w:r>
        <w:t xml:space="preserve">Und</w:t>
      </w:r>
      <w:r>
        <w:t xml:space="preserve"> </w:t>
      </w:r>
      <w:r>
        <w:t xml:space="preserve">Möglichkeiten</w:t>
      </w:r>
      <w:r>
        <w:t xml:space="preserve"> </w:t>
      </w:r>
      <w:r>
        <w:t xml:space="preserve">Erfolgreichen</w:t>
      </w:r>
      <w:r>
        <w:t xml:space="preserve"> </w:t>
      </w:r>
      <w:r>
        <w:t xml:space="preserve">Lernens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19"/>
    <w:bookmarkStart w:id="21" w:name="ref-baumert2022freundschaftwerte"/>
    <w:p>
      <w:pPr>
        <w:pStyle w:val="Bibliography"/>
      </w:pPr>
      <w:r>
        <w:t xml:space="preserve">Baumert, Britta. 2022.</w:t>
      </w:r>
      <w:r>
        <w:t xml:space="preserve"> </w:t>
      </w:r>
      <w:r>
        <w:t xml:space="preserve">“</w:t>
      </w:r>
      <w:r>
        <w:t xml:space="preserve">‘Man kann nicht leben, wenn man keine</w:t>
      </w:r>
      <w:r>
        <w:t xml:space="preserve"> </w:t>
      </w:r>
      <w:r>
        <w:t xml:space="preserve">Freunde</w:t>
      </w:r>
      <w:r>
        <w:t xml:space="preserve"> </w:t>
      </w:r>
      <w:r>
        <w:t xml:space="preserve">hat’</w:t>
      </w:r>
      <w:r>
        <w:t xml:space="preserve">:</w:t>
      </w:r>
      <w:r>
        <w:t xml:space="preserve"> </w:t>
      </w:r>
      <w:r>
        <w:t xml:space="preserve">Wertezuschreibungen</w:t>
      </w:r>
      <w:r>
        <w:t xml:space="preserve"> </w:t>
      </w:r>
      <w:r>
        <w:t xml:space="preserve">Jugendlicher</w:t>
      </w:r>
      <w:r>
        <w:t xml:space="preserve"> </w:t>
      </w:r>
      <w:r>
        <w:t xml:space="preserve">mit und ohne</w:t>
      </w:r>
      <w:r>
        <w:t xml:space="preserve"> </w:t>
      </w:r>
      <w:r>
        <w:t xml:space="preserve">Fluchterfahrung</w:t>
      </w:r>
      <w:r>
        <w:t xml:space="preserve"> </w:t>
      </w:r>
      <w:r>
        <w:t xml:space="preserve">im</w:t>
      </w:r>
      <w:r>
        <w:t xml:space="preserve"> </w:t>
      </w:r>
      <w:r>
        <w:t xml:space="preserve">Themenbereich</w:t>
      </w:r>
      <w:r>
        <w:t xml:space="preserve"> </w:t>
      </w:r>
      <w:r>
        <w:t xml:space="preserve">Freundschaft</w:t>
      </w:r>
      <w:r>
        <w:t xml:space="preserve">.”</w:t>
      </w:r>
      <w:r>
        <w:t xml:space="preserve"> </w:t>
      </w:r>
      <w:r>
        <w:rPr>
          <w:i/>
          <w:iCs/>
        </w:rPr>
        <w:t xml:space="preserve">PraxisForschungLehrer*innenBildung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Zeitschrift</w:t>
      </w:r>
      <w:r>
        <w:rPr>
          <w:i/>
          <w:iCs/>
        </w:rPr>
        <w:t xml:space="preserve"> </w:t>
      </w:r>
      <w:r>
        <w:rPr>
          <w:i/>
          <w:iCs/>
        </w:rPr>
        <w:t xml:space="preserve">für</w:t>
      </w:r>
      <w:r>
        <w:rPr>
          <w:i/>
          <w:iCs/>
        </w:rPr>
        <w:t xml:space="preserve"> </w:t>
      </w:r>
      <w:r>
        <w:rPr>
          <w:i/>
          <w:iCs/>
        </w:rPr>
        <w:t xml:space="preserve">Schul-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Professionsentwicklung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PFLB</w:t>
      </w:r>
      <w:r>
        <w:rPr>
          <w:i/>
          <w:iCs/>
        </w:rPr>
        <w:t xml:space="preserve">)</w:t>
      </w:r>
      <w:r>
        <w:t xml:space="preserve"> </w:t>
      </w:r>
      <w:r>
        <w:t xml:space="preserve">4 (5): 36–50.</w:t>
      </w:r>
      <w:r>
        <w:t xml:space="preserve"> </w:t>
      </w:r>
      <w:hyperlink r:id="rId20">
        <w:r>
          <w:rPr>
            <w:rStyle w:val="Hyperlink"/>
          </w:rPr>
          <w:t xml:space="preserve">https://doi.org/10.11576/pflb-5878</w:t>
        </w:r>
      </w:hyperlink>
      <w:r>
        <w:t xml:space="preserve">.</w:t>
      </w:r>
    </w:p>
    <w:bookmarkEnd w:id="21"/>
    <w:bookmarkStart w:id="22" w:name="ref-behrensen2019inklusive"/>
    <w:p>
      <w:pPr>
        <w:pStyle w:val="Bibliography"/>
      </w:pPr>
      <w:r>
        <w:t xml:space="preserve">Behrensen, Birgit. 2019.</w:t>
      </w:r>
      <w:r>
        <w:t xml:space="preserve"> </w:t>
      </w:r>
      <w:r>
        <w:t xml:space="preserve">“Inklusive</w:t>
      </w:r>
      <w:r>
        <w:t xml:space="preserve"> </w:t>
      </w:r>
      <w:r>
        <w:t xml:space="preserve">Begabungsförderung</w:t>
      </w:r>
      <w:r>
        <w:t xml:space="preserve"> </w:t>
      </w:r>
      <w:r>
        <w:t xml:space="preserve">– Eine</w:t>
      </w:r>
      <w:r>
        <w:t xml:space="preserve"> </w:t>
      </w:r>
      <w:r>
        <w:t xml:space="preserve">Antwort</w:t>
      </w:r>
      <w:r>
        <w:t xml:space="preserve"> </w:t>
      </w:r>
      <w:r>
        <w:t xml:space="preserve">Auf</w:t>
      </w:r>
      <w:r>
        <w:t xml:space="preserve"> </w:t>
      </w:r>
      <w:r>
        <w:t xml:space="preserve">Bildungsherausforderungen</w:t>
      </w:r>
      <w:r>
        <w:t xml:space="preserve"> </w:t>
      </w:r>
      <w:r>
        <w:t xml:space="preserve">in</w:t>
      </w:r>
      <w:r>
        <w:t xml:space="preserve"> </w:t>
      </w:r>
      <w:r>
        <w:t xml:space="preserve">Zeiten</w:t>
      </w:r>
      <w:r>
        <w:t xml:space="preserve"> </w:t>
      </w:r>
      <w:r>
        <w:t xml:space="preserve">von</w:t>
      </w:r>
      <w:r>
        <w:t xml:space="preserve"> </w:t>
      </w:r>
      <w:r>
        <w:t xml:space="preserve">Fluchtmigration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Begabungsförderung Und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Professionalisierung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Befunde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Perspektiven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Herausforderungen</w:t>
      </w:r>
      <w:r>
        <w:t xml:space="preserve">, edited by Christian Reintjes, Ingrid Kunze, and Ekkehard Ossowski. Verlag Julius Klinkhardt.</w:t>
      </w:r>
    </w:p>
    <w:bookmarkEnd w:id="22"/>
    <w:bookmarkStart w:id="23" w:name="ref-evers2025stress"/>
    <w:p>
      <w:pPr>
        <w:pStyle w:val="Bibliography"/>
      </w:pPr>
      <w:r>
        <w:t xml:space="preserve">Evers, Wiebke. 2025.</w:t>
      </w:r>
      <w:r>
        <w:t xml:space="preserve"> </w:t>
      </w:r>
      <w:r>
        <w:t xml:space="preserve">“Stress als</w:t>
      </w:r>
      <w:r>
        <w:t xml:space="preserve"> </w:t>
      </w:r>
      <w:r>
        <w:t xml:space="preserve">Dämpfer</w:t>
      </w:r>
      <w:r>
        <w:t xml:space="preserve"> </w:t>
      </w:r>
      <w:r>
        <w:t xml:space="preserve">für die kognitive</w:t>
      </w:r>
      <w:r>
        <w:t xml:space="preserve"> </w:t>
      </w:r>
      <w:r>
        <w:t xml:space="preserve">Entwicklung</w:t>
      </w:r>
      <w:r>
        <w:t xml:space="preserve"> </w:t>
      </w:r>
      <w:r>
        <w:t xml:space="preserve">und die</w:t>
      </w:r>
      <w:r>
        <w:t xml:space="preserve"> </w:t>
      </w:r>
      <w:r>
        <w:t xml:space="preserve">Entfaltung</w:t>
      </w:r>
      <w:r>
        <w:t xml:space="preserve"> </w:t>
      </w:r>
      <w:r>
        <w:t xml:space="preserve">von</w:t>
      </w:r>
      <w:r>
        <w:t xml:space="preserve"> </w:t>
      </w:r>
      <w:r>
        <w:t xml:space="preserve">Begabung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Was ist fair?</w:t>
      </w:r>
      <w:r>
        <w:rPr>
          <w:i/>
          <w:iCs/>
        </w:rPr>
        <w:t xml:space="preserve"> </w:t>
      </w:r>
      <w:r>
        <w:rPr>
          <w:i/>
          <w:iCs/>
        </w:rPr>
        <w:t xml:space="preserve">Begabungsgerechtigkeit</w:t>
      </w:r>
      <w:r>
        <w:rPr>
          <w:i/>
          <w:iCs/>
        </w:rPr>
        <w:t xml:space="preserve"> </w:t>
      </w:r>
      <w:r>
        <w:rPr>
          <w:i/>
          <w:iCs/>
        </w:rPr>
        <w:t xml:space="preserve">auf dem</w:t>
      </w:r>
      <w:r>
        <w:rPr>
          <w:i/>
          <w:iCs/>
        </w:rPr>
        <w:t xml:space="preserve"> </w:t>
      </w:r>
      <w:r>
        <w:rPr>
          <w:i/>
          <w:iCs/>
        </w:rPr>
        <w:t xml:space="preserve">Prüfstand</w:t>
      </w:r>
      <w:r>
        <w:t xml:space="preserve">, edited by Claudia Pauly. Karg-Stiftung.</w:t>
      </w:r>
      <w:r>
        <w:t xml:space="preserve"> </w:t>
      </w:r>
      <w:hyperlink r:id="rId17">
        <w:r>
          <w:rPr>
            <w:rStyle w:val="Hyperlink"/>
          </w:rPr>
          <w:t xml:space="preserve">https://doi.org/10.25656/01:33972</w:t>
        </w:r>
      </w:hyperlink>
      <w:r>
        <w:t xml:space="preserve">.</w:t>
      </w:r>
    </w:p>
    <w:bookmarkEnd w:id="23"/>
    <w:bookmarkStart w:id="24" w:name="ref-gauckreimann2021psychdiagnostik"/>
    <w:p>
      <w:pPr>
        <w:pStyle w:val="Bibliography"/>
      </w:pPr>
      <w:r>
        <w:t xml:space="preserve">Gauck, Letizia, and Giselle Reimann. 2021.</w:t>
      </w:r>
      <w:r>
        <w:t xml:space="preserve"> </w:t>
      </w:r>
      <w:r>
        <w:t xml:space="preserve">“Psychologische</w:t>
      </w:r>
      <w:r>
        <w:t xml:space="preserve"> </w:t>
      </w:r>
      <w:r>
        <w:t xml:space="preserve">Diagnostik</w:t>
      </w:r>
      <w:r>
        <w:t xml:space="preserve"> </w:t>
      </w:r>
      <w:r>
        <w:t xml:space="preserve">in Der</w:t>
      </w:r>
      <w:r>
        <w:t xml:space="preserve"> </w:t>
      </w:r>
      <w:r>
        <w:t xml:space="preserve">Begabungs-</w:t>
      </w:r>
      <w:r>
        <w:t xml:space="preserve"> </w:t>
      </w:r>
      <w:r>
        <w:t xml:space="preserve">Und</w:t>
      </w:r>
      <w:r>
        <w:t xml:space="preserve"> </w:t>
      </w:r>
      <w:r>
        <w:t xml:space="preserve">Begabtenförderung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24"/>
    <w:bookmarkStart w:id="25" w:name="ref-gold2018lesenkannmanlernen"/>
    <w:p>
      <w:pPr>
        <w:pStyle w:val="Bibliography"/>
      </w:pPr>
      <w:r>
        <w:t xml:space="preserve">Gold, Andreas. 2018.</w:t>
      </w:r>
      <w:r>
        <w:t xml:space="preserve"> </w:t>
      </w:r>
      <w:r>
        <w:rPr>
          <w:i/>
          <w:iCs/>
        </w:rPr>
        <w:t xml:space="preserve">Lesen Kann Man Lernen:</w:t>
      </w:r>
      <w:r>
        <w:rPr>
          <w:i/>
          <w:iCs/>
        </w:rPr>
        <w:t xml:space="preserve"> </w:t>
      </w:r>
      <w:r>
        <w:rPr>
          <w:i/>
          <w:iCs/>
        </w:rPr>
        <w:t xml:space="preserve">Wie</w:t>
      </w:r>
      <w:r>
        <w:rPr>
          <w:i/>
          <w:iCs/>
        </w:rPr>
        <w:t xml:space="preserve"> </w:t>
      </w:r>
      <w:r>
        <w:rPr>
          <w:i/>
          <w:iCs/>
        </w:rPr>
        <w:t xml:space="preserve">Man Die</w:t>
      </w:r>
      <w:r>
        <w:rPr>
          <w:i/>
          <w:iCs/>
        </w:rPr>
        <w:t xml:space="preserve"> </w:t>
      </w:r>
      <w:r>
        <w:rPr>
          <w:i/>
          <w:iCs/>
        </w:rPr>
        <w:t xml:space="preserve">Lesekompetenz</w:t>
      </w:r>
      <w:r>
        <w:rPr>
          <w:i/>
          <w:iCs/>
        </w:rPr>
        <w:t xml:space="preserve"> </w:t>
      </w:r>
      <w:r>
        <w:rPr>
          <w:i/>
          <w:iCs/>
        </w:rPr>
        <w:t xml:space="preserve">Fördern Kann</w:t>
      </w:r>
      <w:r>
        <w:t xml:space="preserve">. 3rd ed. Vandenhoeck &amp; Ruprecht.</w:t>
      </w:r>
    </w:p>
    <w:bookmarkEnd w:id="25"/>
    <w:bookmarkStart w:id="26" w:name="ref-greiten2021underachievement"/>
    <w:p>
      <w:pPr>
        <w:pStyle w:val="Bibliography"/>
      </w:pPr>
      <w:r>
        <w:t xml:space="preserve">Greiten, Silvia. 2021.</w:t>
      </w:r>
      <w:r>
        <w:t xml:space="preserve"> </w:t>
      </w:r>
      <w:r>
        <w:t xml:space="preserve">“Underachievement:</w:t>
      </w:r>
      <w:r>
        <w:t xml:space="preserve"> </w:t>
      </w:r>
      <w:r>
        <w:t xml:space="preserve">B</w:t>
      </w:r>
      <w:r>
        <w:t xml:space="preserve">egriff Und</w:t>
      </w:r>
      <w:r>
        <w:t xml:space="preserve"> </w:t>
      </w:r>
      <w:r>
        <w:t xml:space="preserve">K</w:t>
      </w:r>
      <w:r>
        <w:t xml:space="preserve">onzept.”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26"/>
    <w:bookmarkStart w:id="28" w:name="Xe4cbe677739dd1eab769f792519bb250e0f4fe5"/>
    <w:p>
      <w:pPr>
        <w:pStyle w:val="Bibliography"/>
      </w:pPr>
      <w:r>
        <w:t xml:space="preserve">Grosche, Michael, Kathrin Fussangel, and Cornelia Gräsel. 2020.</w:t>
      </w:r>
      <w:r>
        <w:t xml:space="preserve"> </w:t>
      </w:r>
      <w:r>
        <w:t xml:space="preserve">“Kokonstruktive</w:t>
      </w:r>
      <w:r>
        <w:t xml:space="preserve"> </w:t>
      </w:r>
      <w:r>
        <w:t xml:space="preserve">Kooperation</w:t>
      </w:r>
      <w:r>
        <w:t xml:space="preserve"> </w:t>
      </w:r>
      <w:r>
        <w:t xml:space="preserve">zwischen</w:t>
      </w:r>
      <w:r>
        <w:t xml:space="preserve"> </w:t>
      </w:r>
      <w:r>
        <w:t xml:space="preserve">Lehrkräften</w:t>
      </w:r>
      <w:r>
        <w:t xml:space="preserve">:</w:t>
      </w:r>
      <w:r>
        <w:t xml:space="preserve"> </w:t>
      </w:r>
      <w:r>
        <w:t xml:space="preserve">Aktualisierung</w:t>
      </w:r>
      <w:r>
        <w:t xml:space="preserve"> </w:t>
      </w:r>
      <w:r>
        <w:t xml:space="preserve">und</w:t>
      </w:r>
      <w:r>
        <w:t xml:space="preserve"> </w:t>
      </w:r>
      <w:r>
        <w:t xml:space="preserve">Erweiterung</w:t>
      </w:r>
      <w:r>
        <w:t xml:space="preserve"> </w:t>
      </w:r>
      <w:r>
        <w:t xml:space="preserve">der</w:t>
      </w:r>
      <w:r>
        <w:t xml:space="preserve"> </w:t>
      </w:r>
      <w:r>
        <w:t xml:space="preserve">Kokonstruktionstheorie</w:t>
      </w:r>
      <w:r>
        <w:t xml:space="preserve"> </w:t>
      </w:r>
      <w:r>
        <w:t xml:space="preserve">sowie deren</w:t>
      </w:r>
      <w:r>
        <w:t xml:space="preserve"> </w:t>
      </w:r>
      <w:r>
        <w:t xml:space="preserve">Anwendung</w:t>
      </w:r>
      <w:r>
        <w:t xml:space="preserve"> </w:t>
      </w:r>
      <w:r>
        <w:t xml:space="preserve">am</w:t>
      </w:r>
      <w:r>
        <w:t xml:space="preserve"> </w:t>
      </w:r>
      <w:r>
        <w:t xml:space="preserve">Beispiel</w:t>
      </w:r>
      <w:r>
        <w:t xml:space="preserve"> </w:t>
      </w:r>
      <w:r>
        <w:t xml:space="preserve">schulischer</w:t>
      </w:r>
      <w:r>
        <w:t xml:space="preserve"> </w:t>
      </w:r>
      <w:r>
        <w:t xml:space="preserve">Inklusion</w:t>
      </w:r>
      <w:r>
        <w:t xml:space="preserve">.”</w:t>
      </w:r>
      <w:r>
        <w:t xml:space="preserve"> </w:t>
      </w:r>
      <w:r>
        <w:rPr>
          <w:i/>
          <w:iCs/>
        </w:rPr>
        <w:t xml:space="preserve">Zeitschrift für Pädagogik</w:t>
      </w:r>
      <w:r>
        <w:t xml:space="preserve"> </w:t>
      </w:r>
      <w:r>
        <w:t xml:space="preserve">66 (4): 461–79.</w:t>
      </w:r>
      <w:r>
        <w:t xml:space="preserve"> </w:t>
      </w:r>
      <w:hyperlink r:id="rId27">
        <w:r>
          <w:rPr>
            <w:rStyle w:val="Hyperlink"/>
          </w:rPr>
          <w:t xml:space="preserve">https://doi.org/10.3262/ZP2004461</w:t>
        </w:r>
      </w:hyperlink>
      <w:r>
        <w:t xml:space="preserve">.</w:t>
      </w:r>
    </w:p>
    <w:bookmarkEnd w:id="28"/>
    <w:bookmarkStart w:id="29" w:name="ref-grossrieder2010anerkennung"/>
    <w:p>
      <w:pPr>
        <w:pStyle w:val="Bibliography"/>
      </w:pPr>
      <w:r>
        <w:t xml:space="preserve">Grossrieder, Ivo. 2010.</w:t>
      </w:r>
      <w:r>
        <w:t xml:space="preserve"> </w:t>
      </w:r>
      <w:r>
        <w:t xml:space="preserve">“Gleiches Und</w:t>
      </w:r>
      <w:r>
        <w:t xml:space="preserve"> </w:t>
      </w:r>
      <w:r>
        <w:t xml:space="preserve">Unterschiedliches</w:t>
      </w:r>
      <w:r>
        <w:t xml:space="preserve"> </w:t>
      </w:r>
      <w:r>
        <w:t xml:space="preserve">Anerkennen.”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Alle Gleich – Alle Unterschiedlich:</w:t>
      </w:r>
      <w:r>
        <w:rPr>
          <w:i/>
          <w:iCs/>
        </w:rPr>
        <w:t xml:space="preserve"> </w:t>
      </w:r>
      <w:r>
        <w:rPr>
          <w:i/>
          <w:iCs/>
        </w:rPr>
        <w:t xml:space="preserve">Zum</w:t>
      </w:r>
      <w:r>
        <w:rPr>
          <w:i/>
          <w:iCs/>
        </w:rPr>
        <w:t xml:space="preserve"> </w:t>
      </w:r>
      <w:r>
        <w:rPr>
          <w:i/>
          <w:iCs/>
        </w:rPr>
        <w:t xml:space="preserve">Umgang</w:t>
      </w:r>
      <w:r>
        <w:rPr>
          <w:i/>
          <w:iCs/>
        </w:rPr>
        <w:t xml:space="preserve"> </w:t>
      </w:r>
      <w:r>
        <w:rPr>
          <w:i/>
          <w:iCs/>
        </w:rPr>
        <w:t xml:space="preserve">Mit</w:t>
      </w:r>
      <w:r>
        <w:rPr>
          <w:i/>
          <w:iCs/>
        </w:rPr>
        <w:t xml:space="preserve"> </w:t>
      </w:r>
      <w:r>
        <w:rPr>
          <w:i/>
          <w:iCs/>
        </w:rPr>
        <w:t xml:space="preserve">Heterogenität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Schule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Unterricht</w:t>
      </w:r>
      <w:r>
        <w:t xml:space="preserve">, edited by Alois Buholzer and Annemarie Kummer Wyss. Klett und Balmer.</w:t>
      </w:r>
    </w:p>
    <w:bookmarkEnd w:id="29"/>
    <w:bookmarkStart w:id="30" w:name="ref-haag2018leistungsstanddiagnostik"/>
    <w:p>
      <w:pPr>
        <w:pStyle w:val="Bibliography"/>
      </w:pPr>
      <w:r>
        <w:t xml:space="preserve">Haag, Nicole, Birgit Heppt, and Stefan Schipolowski. 2018.</w:t>
      </w:r>
      <w:r>
        <w:t xml:space="preserve"> </w:t>
      </w:r>
      <w:r>
        <w:t xml:space="preserve">“Leistungsstanddiagnostik.”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Diagnostik Bei</w:t>
      </w:r>
      <w:r>
        <w:rPr>
          <w:i/>
          <w:iCs/>
        </w:rPr>
        <w:t xml:space="preserve"> </w:t>
      </w:r>
      <w:r>
        <w:rPr>
          <w:i/>
          <w:iCs/>
        </w:rPr>
        <w:t xml:space="preserve">Migrantinnen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Migranten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Ein</w:t>
      </w:r>
      <w:r>
        <w:rPr>
          <w:i/>
          <w:iCs/>
        </w:rPr>
        <w:t xml:space="preserve"> </w:t>
      </w:r>
      <w:r>
        <w:rPr>
          <w:i/>
          <w:iCs/>
        </w:rPr>
        <w:t xml:space="preserve">Handbuch</w:t>
      </w:r>
      <w:r>
        <w:t xml:space="preserve">, edited by Débora B. Maehler, Alexandra Shajek, and Heinz Ulrich Brinkmann. Hogrefe.</w:t>
      </w:r>
    </w:p>
    <w:bookmarkEnd w:id="30"/>
    <w:bookmarkStart w:id="31" w:name="ref-horvath2021elite"/>
    <w:p>
      <w:pPr>
        <w:pStyle w:val="Bibliography"/>
      </w:pPr>
      <w:r>
        <w:t xml:space="preserve">Horvath, Kenneth. 2021.</w:t>
      </w:r>
      <w:r>
        <w:t xml:space="preserve"> </w:t>
      </w:r>
      <w:r>
        <w:t xml:space="preserve">“Elite,</w:t>
      </w:r>
      <w:r>
        <w:t xml:space="preserve"> </w:t>
      </w:r>
      <w:r>
        <w:t xml:space="preserve">Begabung</w:t>
      </w:r>
      <w:r>
        <w:t xml:space="preserve"> </w:t>
      </w:r>
      <w:r>
        <w:t xml:space="preserve">Und Soziale</w:t>
      </w:r>
      <w:r>
        <w:t xml:space="preserve"> </w:t>
      </w:r>
      <w:r>
        <w:t xml:space="preserve">Ungleichheit</w:t>
      </w:r>
      <w:r>
        <w:t xml:space="preserve">:</w:t>
      </w:r>
      <w:r>
        <w:t xml:space="preserve"> </w:t>
      </w:r>
      <w:r>
        <w:t xml:space="preserve">Ungelöste</w:t>
      </w:r>
      <w:r>
        <w:t xml:space="preserve"> </w:t>
      </w:r>
      <w:r>
        <w:t xml:space="preserve">Gerechtigkeitsfragen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31"/>
    <w:bookmarkStart w:id="32" w:name="ref-hoyer2013begabung"/>
    <w:p>
      <w:pPr>
        <w:pStyle w:val="Bibliography"/>
      </w:pPr>
      <w:r>
        <w:t xml:space="preserve">Hoyer, Timo, Gabriele Weigand, and Victor Müller-Oppliger. 2013.</w:t>
      </w:r>
      <w:r>
        <w:t xml:space="preserve"> </w:t>
      </w:r>
      <w:r>
        <w:rPr>
          <w:i/>
          <w:iCs/>
        </w:rPr>
        <w:t xml:space="preserve">Begabung: Eine Einführung</w:t>
      </w:r>
      <w:r>
        <w:t xml:space="preserve">. Erziehungswissenschaft Kompakt. WBG (Wissenschaftliche Buchgesellschaft).</w:t>
      </w:r>
    </w:p>
    <w:bookmarkEnd w:id="32"/>
    <w:bookmarkStart w:id="34" w:name="ref-hurschler2020handschriftbeurteilung"/>
    <w:p>
      <w:pPr>
        <w:pStyle w:val="Bibliography"/>
      </w:pPr>
      <w:r>
        <w:t xml:space="preserve">Hurschler Lichtsteiner, Sibylle. 2020.</w:t>
      </w:r>
      <w:r>
        <w:t xml:space="preserve"> </w:t>
      </w:r>
      <w:r>
        <w:t xml:space="preserve">“Differenzierende</w:t>
      </w:r>
      <w:r>
        <w:t xml:space="preserve"> </w:t>
      </w:r>
      <w:r>
        <w:t xml:space="preserve">Beurteilung</w:t>
      </w:r>
      <w:r>
        <w:t xml:space="preserve"> </w:t>
      </w:r>
      <w:r>
        <w:t xml:space="preserve">der</w:t>
      </w:r>
      <w:r>
        <w:t xml:space="preserve"> </w:t>
      </w:r>
      <w:r>
        <w:t xml:space="preserve">Handschrift</w:t>
      </w:r>
      <w:r>
        <w:t xml:space="preserve">:</w:t>
      </w:r>
      <w:r>
        <w:t xml:space="preserve"> </w:t>
      </w:r>
      <w:r>
        <w:t xml:space="preserve">Ein</w:t>
      </w:r>
      <w:r>
        <w:t xml:space="preserve"> </w:t>
      </w:r>
      <w:r>
        <w:t xml:space="preserve">Bestandteil</w:t>
      </w:r>
      <w:r>
        <w:t xml:space="preserve"> </w:t>
      </w:r>
      <w:r>
        <w:t xml:space="preserve">der</w:t>
      </w:r>
      <w:r>
        <w:t xml:space="preserve"> </w:t>
      </w:r>
      <w:r>
        <w:t xml:space="preserve">Schreibförderung</w:t>
      </w:r>
      <w:r>
        <w:t xml:space="preserve">.”</w:t>
      </w:r>
      <w:r>
        <w:t xml:space="preserve"> </w:t>
      </w:r>
      <w:r>
        <w:rPr>
          <w:i/>
          <w:iCs/>
        </w:rPr>
        <w:t xml:space="preserve">leseforum.ch:</w:t>
      </w:r>
      <w:r>
        <w:rPr>
          <w:i/>
          <w:iCs/>
        </w:rPr>
        <w:t xml:space="preserve"> </w:t>
      </w:r>
      <w:r>
        <w:rPr>
          <w:i/>
          <w:iCs/>
        </w:rPr>
        <w:t xml:space="preserve">Online-Plattform</w:t>
      </w:r>
      <w:r>
        <w:rPr>
          <w:i/>
          <w:iCs/>
        </w:rPr>
        <w:t xml:space="preserve"> </w:t>
      </w:r>
      <w:r>
        <w:rPr>
          <w:i/>
          <w:iCs/>
        </w:rPr>
        <w:t xml:space="preserve">für</w:t>
      </w:r>
      <w:r>
        <w:rPr>
          <w:i/>
          <w:iCs/>
        </w:rPr>
        <w:t xml:space="preserve"> </w:t>
      </w:r>
      <w:r>
        <w:rPr>
          <w:i/>
          <w:iCs/>
        </w:rPr>
        <w:t xml:space="preserve">Literalität</w:t>
      </w:r>
      <w:r>
        <w:t xml:space="preserve">, no. 3: 1–26.</w:t>
      </w:r>
      <w:r>
        <w:t xml:space="preserve"> </w:t>
      </w:r>
      <w:hyperlink r:id="rId33">
        <w:r>
          <w:rPr>
            <w:rStyle w:val="Hyperlink"/>
          </w:rPr>
          <w:t xml:space="preserve">https://doi.org/10.58098/lffl/2020/3/711</w:t>
        </w:r>
      </w:hyperlink>
      <w:r>
        <w:t xml:space="preserve">.</w:t>
      </w:r>
    </w:p>
    <w:bookmarkEnd w:id="34"/>
    <w:bookmarkStart w:id="35" w:name="ref-kappus2010migration"/>
    <w:p>
      <w:pPr>
        <w:pStyle w:val="Bibliography"/>
      </w:pPr>
      <w:r>
        <w:t xml:space="preserve">Kappus, Elke-Nicole. 2010.</w:t>
      </w:r>
      <w:r>
        <w:t xml:space="preserve"> </w:t>
      </w:r>
      <w:r>
        <w:t xml:space="preserve">“Umgang Mit Migrationsbedingter</w:t>
      </w:r>
      <w:r>
        <w:t xml:space="preserve"> </w:t>
      </w:r>
      <w:r>
        <w:t xml:space="preserve">Heterogenität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Alle Gleich – Alle Unterschiedlich:</w:t>
      </w:r>
      <w:r>
        <w:rPr>
          <w:i/>
          <w:iCs/>
        </w:rPr>
        <w:t xml:space="preserve"> </w:t>
      </w:r>
      <w:r>
        <w:rPr>
          <w:i/>
          <w:iCs/>
        </w:rPr>
        <w:t xml:space="preserve">Zum</w:t>
      </w:r>
      <w:r>
        <w:rPr>
          <w:i/>
          <w:iCs/>
        </w:rPr>
        <w:t xml:space="preserve"> </w:t>
      </w:r>
      <w:r>
        <w:rPr>
          <w:i/>
          <w:iCs/>
        </w:rPr>
        <w:t xml:space="preserve">Umgang</w:t>
      </w:r>
      <w:r>
        <w:rPr>
          <w:i/>
          <w:iCs/>
        </w:rPr>
        <w:t xml:space="preserve"> </w:t>
      </w:r>
      <w:r>
        <w:rPr>
          <w:i/>
          <w:iCs/>
        </w:rPr>
        <w:t xml:space="preserve">Mit</w:t>
      </w:r>
      <w:r>
        <w:rPr>
          <w:i/>
          <w:iCs/>
        </w:rPr>
        <w:t xml:space="preserve"> </w:t>
      </w:r>
      <w:r>
        <w:rPr>
          <w:i/>
          <w:iCs/>
        </w:rPr>
        <w:t xml:space="preserve">Heterogenität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Schule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Unterricht</w:t>
      </w:r>
      <w:r>
        <w:t xml:space="preserve">, edited by Alois Buholzer and Annemarie Kummer Wyss. Klett und Balmer.</w:t>
      </w:r>
    </w:p>
    <w:bookmarkEnd w:id="35"/>
    <w:bookmarkStart w:id="36" w:name="ref-kellerkoller2025hellekoepfe"/>
    <w:p>
      <w:pPr>
        <w:pStyle w:val="Bibliography"/>
      </w:pPr>
      <w:r>
        <w:t xml:space="preserve">Keller-Koller, Isabella. 2025.</w:t>
      </w:r>
      <w:r>
        <w:t xml:space="preserve"> </w:t>
      </w:r>
      <w:r>
        <w:t xml:space="preserve">“Helle</w:t>
      </w:r>
      <w:r>
        <w:t xml:space="preserve"> </w:t>
      </w:r>
      <w:r>
        <w:t xml:space="preserve">Köpfe</w:t>
      </w:r>
      <w:r>
        <w:t xml:space="preserve"> </w:t>
      </w:r>
      <w:r>
        <w:t xml:space="preserve">Mit</w:t>
      </w:r>
      <w:r>
        <w:t xml:space="preserve"> </w:t>
      </w:r>
      <w:r>
        <w:t xml:space="preserve">Migrationshintergrund</w:t>
      </w:r>
      <w:r>
        <w:t xml:space="preserve">: Warum Sie Oft Unerkannt Bleiben.”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Lichtblick Für Helle</w:t>
      </w:r>
      <w:r>
        <w:rPr>
          <w:i/>
          <w:iCs/>
        </w:rPr>
        <w:t xml:space="preserve"> </w:t>
      </w:r>
      <w:r>
        <w:rPr>
          <w:i/>
          <w:iCs/>
        </w:rPr>
        <w:t xml:space="preserve">Köpfe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Ein</w:t>
      </w:r>
      <w:r>
        <w:rPr>
          <w:i/>
          <w:iCs/>
        </w:rPr>
        <w:t xml:space="preserve"> </w:t>
      </w:r>
      <w:r>
        <w:rPr>
          <w:i/>
          <w:iCs/>
        </w:rPr>
        <w:t xml:space="preserve">Wegweiser</w:t>
      </w:r>
      <w:r>
        <w:rPr>
          <w:i/>
          <w:iCs/>
        </w:rPr>
        <w:t xml:space="preserve"> </w:t>
      </w:r>
      <w:r>
        <w:rPr>
          <w:i/>
          <w:iCs/>
        </w:rPr>
        <w:t xml:space="preserve">Zur</w:t>
      </w:r>
      <w:r>
        <w:rPr>
          <w:i/>
          <w:iCs/>
        </w:rPr>
        <w:t xml:space="preserve"> </w:t>
      </w:r>
      <w:r>
        <w:rPr>
          <w:i/>
          <w:iCs/>
        </w:rPr>
        <w:t xml:space="preserve">Erkennung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Förderung</w:t>
      </w:r>
      <w:r>
        <w:rPr>
          <w:i/>
          <w:iCs/>
        </w:rPr>
        <w:t xml:space="preserve"> </w:t>
      </w:r>
      <w:r>
        <w:rPr>
          <w:i/>
          <w:iCs/>
        </w:rPr>
        <w:t xml:space="preserve">von Hohen</w:t>
      </w:r>
      <w:r>
        <w:rPr>
          <w:i/>
          <w:iCs/>
        </w:rPr>
        <w:t xml:space="preserve"> </w:t>
      </w:r>
      <w:r>
        <w:rPr>
          <w:i/>
          <w:iCs/>
        </w:rPr>
        <w:t xml:space="preserve">Fähigkeiten</w:t>
      </w:r>
      <w:r>
        <w:rPr>
          <w:i/>
          <w:iCs/>
        </w:rPr>
        <w:t xml:space="preserve"> </w:t>
      </w:r>
      <w:r>
        <w:rPr>
          <w:i/>
          <w:iCs/>
        </w:rPr>
        <w:t xml:space="preserve">Bei</w:t>
      </w:r>
      <w:r>
        <w:rPr>
          <w:i/>
          <w:iCs/>
        </w:rPr>
        <w:t xml:space="preserve"> </w:t>
      </w:r>
      <w:r>
        <w:rPr>
          <w:i/>
          <w:iCs/>
        </w:rPr>
        <w:t xml:space="preserve">Kindern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Jugendlichen</w:t>
      </w:r>
      <w:r>
        <w:rPr>
          <w:i/>
          <w:iCs/>
        </w:rPr>
        <w:t xml:space="preserve"> </w:t>
      </w:r>
      <w:r>
        <w:rPr>
          <w:i/>
          <w:iCs/>
        </w:rPr>
        <w:t xml:space="preserve">Auf Allen</w:t>
      </w:r>
      <w:r>
        <w:rPr>
          <w:i/>
          <w:iCs/>
        </w:rPr>
        <w:t xml:space="preserve"> </w:t>
      </w:r>
      <w:r>
        <w:rPr>
          <w:i/>
          <w:iCs/>
        </w:rPr>
        <w:t xml:space="preserve">Schulstufen</w:t>
      </w:r>
      <w:r>
        <w:t xml:space="preserve">, 3rd ed., edited by Joëlle Huser. Lehrmittelverlag Zürich.</w:t>
      </w:r>
    </w:p>
    <w:bookmarkEnd w:id="36"/>
    <w:bookmarkStart w:id="38" w:name="ref-kesselshannover2015gleichaltrige"/>
    <w:p>
      <w:pPr>
        <w:pStyle w:val="Bibliography"/>
      </w:pPr>
      <w:r>
        <w:t xml:space="preserve">Kessels, Ursula, and Bettina Hannover. 2015.</w:t>
      </w:r>
      <w:r>
        <w:t xml:space="preserve"> </w:t>
      </w:r>
      <w:r>
        <w:t xml:space="preserve">“Gleichaltrige.”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Pädagogische</w:t>
      </w:r>
      <w:r>
        <w:rPr>
          <w:i/>
          <w:iCs/>
        </w:rPr>
        <w:t xml:space="preserve"> </w:t>
      </w:r>
      <w:r>
        <w:rPr>
          <w:i/>
          <w:iCs/>
        </w:rPr>
        <w:t xml:space="preserve">Psychologie</w:t>
      </w:r>
      <w:r>
        <w:t xml:space="preserve">, 2nd ed., edited by Elke Wild and Jens Möller.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https://doi.org/10.1007/978-3-642-41291-2_12</w:t>
        </w:r>
      </w:hyperlink>
      <w:r>
        <w:t xml:space="preserve">.</w:t>
      </w:r>
    </w:p>
    <w:bookmarkEnd w:id="38"/>
    <w:bookmarkStart w:id="39" w:name="ref-koop2025herkunft"/>
    <w:p>
      <w:pPr>
        <w:pStyle w:val="Bibliography"/>
      </w:pPr>
      <w:r>
        <w:t xml:space="preserve">Koop, Christine. 2025.</w:t>
      </w:r>
      <w:r>
        <w:t xml:space="preserve"> </w:t>
      </w:r>
      <w:r>
        <w:t xml:space="preserve">“Die</w:t>
      </w:r>
      <w:r>
        <w:t xml:space="preserve"> </w:t>
      </w:r>
      <w:r>
        <w:t xml:space="preserve">Herkunft</w:t>
      </w:r>
      <w:r>
        <w:t xml:space="preserve"> </w:t>
      </w:r>
      <w:r>
        <w:t xml:space="preserve">entscheidet zu oft über die</w:t>
      </w:r>
      <w:r>
        <w:t xml:space="preserve"> </w:t>
      </w:r>
      <w:r>
        <w:t xml:space="preserve">Chancen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Was ist fair?</w:t>
      </w:r>
      <w:r>
        <w:rPr>
          <w:i/>
          <w:iCs/>
        </w:rPr>
        <w:t xml:space="preserve"> </w:t>
      </w:r>
      <w:r>
        <w:rPr>
          <w:i/>
          <w:iCs/>
        </w:rPr>
        <w:t xml:space="preserve">Begabungsgerechtigkeit</w:t>
      </w:r>
      <w:r>
        <w:rPr>
          <w:i/>
          <w:iCs/>
        </w:rPr>
        <w:t xml:space="preserve"> </w:t>
      </w:r>
      <w:r>
        <w:rPr>
          <w:i/>
          <w:iCs/>
        </w:rPr>
        <w:t xml:space="preserve">auf dem</w:t>
      </w:r>
      <w:r>
        <w:rPr>
          <w:i/>
          <w:iCs/>
        </w:rPr>
        <w:t xml:space="preserve"> </w:t>
      </w:r>
      <w:r>
        <w:rPr>
          <w:i/>
          <w:iCs/>
        </w:rPr>
        <w:t xml:space="preserve">Prüfstand</w:t>
      </w:r>
      <w:r>
        <w:t xml:space="preserve">, edited by Claudia Pauly. Karg-Stiftung.</w:t>
      </w:r>
      <w:r>
        <w:t xml:space="preserve"> </w:t>
      </w:r>
      <w:hyperlink r:id="rId17">
        <w:r>
          <w:rPr>
            <w:rStyle w:val="Hyperlink"/>
          </w:rPr>
          <w:t xml:space="preserve">https://doi.org/10.25656/01:33972</w:t>
        </w:r>
      </w:hyperlink>
      <w:r>
        <w:t xml:space="preserve">.</w:t>
      </w:r>
    </w:p>
    <w:bookmarkEnd w:id="39"/>
    <w:bookmarkStart w:id="40" w:name="ref-kosoroklabhart2021voneltern"/>
    <w:p>
      <w:pPr>
        <w:pStyle w:val="Bibliography"/>
      </w:pPr>
      <w:r>
        <w:t xml:space="preserve">Košorok Labhart, Carmen, Dora Luginbühl, and Angelika Schöllhorn. 2021.</w:t>
      </w:r>
      <w:r>
        <w:t xml:space="preserve"> </w:t>
      </w:r>
      <w:r>
        <w:rPr>
          <w:i/>
          <w:iCs/>
        </w:rPr>
        <w:t xml:space="preserve">Von</w:t>
      </w:r>
      <w:r>
        <w:rPr>
          <w:i/>
          <w:iCs/>
        </w:rPr>
        <w:t xml:space="preserve"> </w:t>
      </w:r>
      <w:r>
        <w:rPr>
          <w:i/>
          <w:iCs/>
        </w:rPr>
        <w:t xml:space="preserve">Eltern</w:t>
      </w:r>
      <w:r>
        <w:rPr>
          <w:i/>
          <w:iCs/>
        </w:rPr>
        <w:t xml:space="preserve"> </w:t>
      </w:r>
      <w:r>
        <w:rPr>
          <w:i/>
          <w:iCs/>
        </w:rPr>
        <w:t xml:space="preserve">Mit</w:t>
      </w:r>
      <w:r>
        <w:rPr>
          <w:i/>
          <w:iCs/>
        </w:rPr>
        <w:t xml:space="preserve"> </w:t>
      </w:r>
      <w:r>
        <w:rPr>
          <w:i/>
          <w:iCs/>
        </w:rPr>
        <w:t xml:space="preserve">Migrationshintergrund</w:t>
      </w:r>
      <w:r>
        <w:rPr>
          <w:i/>
          <w:iCs/>
        </w:rPr>
        <w:t xml:space="preserve"> </w:t>
      </w:r>
      <w:r>
        <w:rPr>
          <w:i/>
          <w:iCs/>
        </w:rPr>
        <w:t xml:space="preserve">Lernen:</w:t>
      </w:r>
      <w:r>
        <w:rPr>
          <w:i/>
          <w:iCs/>
        </w:rPr>
        <w:t xml:space="preserve"> </w:t>
      </w:r>
      <w:r>
        <w:rPr>
          <w:i/>
          <w:iCs/>
        </w:rPr>
        <w:t xml:space="preserve">Denkanstösse</w:t>
      </w:r>
      <w:r>
        <w:rPr>
          <w:i/>
          <w:iCs/>
        </w:rPr>
        <w:t xml:space="preserve"> </w:t>
      </w:r>
      <w:r>
        <w:rPr>
          <w:i/>
          <w:iCs/>
        </w:rPr>
        <w:t xml:space="preserve">Für Die Kultursensible</w:t>
      </w:r>
      <w:r>
        <w:rPr>
          <w:i/>
          <w:iCs/>
        </w:rPr>
        <w:t xml:space="preserve"> </w:t>
      </w:r>
      <w:r>
        <w:rPr>
          <w:i/>
          <w:iCs/>
        </w:rPr>
        <w:t xml:space="preserve">Praxis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Spielgruppe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Kita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Schule</w:t>
      </w:r>
      <w:r>
        <w:t xml:space="preserve">. Hep Verlag.</w:t>
      </w:r>
    </w:p>
    <w:bookmarkEnd w:id="40"/>
    <w:bookmarkStart w:id="42" w:name="ref-kuhl2019diversitaet"/>
    <w:p>
      <w:pPr>
        <w:pStyle w:val="Bibliography"/>
      </w:pPr>
      <w:r>
        <w:t xml:space="preserve">Kuhl, Julius, and Franz Hofmann. 2019.</w:t>
      </w:r>
      <w:r>
        <w:t xml:space="preserve"> </w:t>
      </w:r>
      <w:r>
        <w:t xml:space="preserve">“Diversität Und</w:t>
      </w:r>
      <w:r>
        <w:t xml:space="preserve"> </w:t>
      </w:r>
      <w:r>
        <w:t xml:space="preserve">Persönlichkeit</w:t>
      </w:r>
      <w:r>
        <w:t xml:space="preserve">:</w:t>
      </w:r>
      <w:r>
        <w:t xml:space="preserve"> </w:t>
      </w:r>
      <w:r>
        <w:t xml:space="preserve">Begabungsentfaltung</w:t>
      </w:r>
      <w:r>
        <w:t xml:space="preserve"> </w:t>
      </w:r>
      <w:r>
        <w:t xml:space="preserve">Im</w:t>
      </w:r>
      <w:r>
        <w:t xml:space="preserve"> </w:t>
      </w:r>
      <w:r>
        <w:t xml:space="preserve">Kontext</w:t>
      </w:r>
      <w:r>
        <w:t xml:space="preserve"> </w:t>
      </w:r>
      <w:r>
        <w:t xml:space="preserve">Der Pädagogischen</w:t>
      </w:r>
      <w:r>
        <w:t xml:space="preserve"> </w:t>
      </w:r>
      <w:r>
        <w:t xml:space="preserve">Beziehung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Begabungsförderung Und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Professionalisierung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Befunde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Perspektiven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Herausforderungen</w:t>
      </w:r>
      <w:r>
        <w:t xml:space="preserve">, edited by Christian Reintjes, Ingrid Kunze, and Ekkehard Ossowski. Verlag Julius Klinkhardt.</w:t>
      </w:r>
      <w:r>
        <w:t xml:space="preserve"> </w:t>
      </w:r>
      <w:hyperlink r:id="rId41">
        <w:r>
          <w:rPr>
            <w:rStyle w:val="Hyperlink"/>
          </w:rPr>
          <w:t xml:space="preserve">https://doi.org/10.25656/01:17448</w:t>
        </w:r>
      </w:hyperlink>
      <w:r>
        <w:t xml:space="preserve">.</w:t>
      </w:r>
    </w:p>
    <w:bookmarkEnd w:id="42"/>
    <w:bookmarkStart w:id="43" w:name="ref-lehwald2017motivation"/>
    <w:p>
      <w:pPr>
        <w:pStyle w:val="Bibliography"/>
      </w:pPr>
      <w:r>
        <w:t xml:space="preserve">Lehwald, Gerhard. 2017.</w:t>
      </w:r>
      <w:r>
        <w:t xml:space="preserve"> </w:t>
      </w:r>
      <w:r>
        <w:rPr>
          <w:i/>
          <w:iCs/>
        </w:rPr>
        <w:t xml:space="preserve">Motivation Trifft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Begabte</w:t>
      </w:r>
      <w:r>
        <w:rPr>
          <w:i/>
          <w:iCs/>
        </w:rPr>
        <w:t xml:space="preserve"> </w:t>
      </w:r>
      <w:r>
        <w:rPr>
          <w:i/>
          <w:iCs/>
        </w:rPr>
        <w:t xml:space="preserve">Kinder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Jugendliche</w:t>
      </w:r>
      <w:r>
        <w:rPr>
          <w:i/>
          <w:iCs/>
        </w:rPr>
        <w:t xml:space="preserve"> </w:t>
      </w:r>
      <w:r>
        <w:rPr>
          <w:i/>
          <w:iCs/>
        </w:rPr>
        <w:t xml:space="preserve">Verstehen Und Gezielt Fördern</w:t>
      </w:r>
      <w:r>
        <w:t xml:space="preserve">. Hogrefe.</w:t>
      </w:r>
    </w:p>
    <w:bookmarkEnd w:id="43"/>
    <w:bookmarkStart w:id="44" w:name="ref-macha2019gender"/>
    <w:p>
      <w:pPr>
        <w:pStyle w:val="Bibliography"/>
      </w:pPr>
      <w:r>
        <w:t xml:space="preserve">Macha, Hildegard. 2019.</w:t>
      </w:r>
      <w:r>
        <w:t xml:space="preserve"> </w:t>
      </w:r>
      <w:r>
        <w:t xml:space="preserve">“Gender- Und Diversitätssensible</w:t>
      </w:r>
      <w:r>
        <w:t xml:space="preserve"> </w:t>
      </w:r>
      <w:r>
        <w:t xml:space="preserve">Begabungsförderung</w:t>
      </w:r>
      <w:r>
        <w:t xml:space="preserve"> </w:t>
      </w:r>
      <w:r>
        <w:t xml:space="preserve">Und</w:t>
      </w:r>
      <w:r>
        <w:t xml:space="preserve"> </w:t>
      </w:r>
      <w:r>
        <w:t xml:space="preserve">Professionalisierung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Begabungsförderung Und</w:t>
      </w:r>
      <w:r>
        <w:rPr>
          <w:i/>
          <w:iCs/>
        </w:rPr>
        <w:t xml:space="preserve"> </w:t>
      </w:r>
      <w:r>
        <w:rPr>
          <w:i/>
          <w:iCs/>
        </w:rPr>
        <w:t xml:space="preserve">Professionalisierung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Befunde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Perspektiven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Herausforderungen</w:t>
      </w:r>
      <w:r>
        <w:t xml:space="preserve">, edited by Christian Reintjes, Ingrid Kunze, and Ekkehard Ossowski. Verlag Julius Klinkhardt.</w:t>
      </w:r>
      <w:r>
        <w:t xml:space="preserve"> </w:t>
      </w:r>
      <w:hyperlink r:id="rId41">
        <w:r>
          <w:rPr>
            <w:rStyle w:val="Hyperlink"/>
          </w:rPr>
          <w:t xml:space="preserve">https://doi.org/10.25656/01:17448</w:t>
        </w:r>
      </w:hyperlink>
      <w:r>
        <w:t xml:space="preserve">.</w:t>
      </w:r>
    </w:p>
    <w:bookmarkEnd w:id="44"/>
    <w:bookmarkStart w:id="45" w:name="ref-maehler2018diagnostik"/>
    <w:p>
      <w:pPr>
        <w:pStyle w:val="Bibliography"/>
      </w:pPr>
      <w:r>
        <w:t xml:space="preserve">Maehler, Débora B., Alexandra Shajek, and Heinz Ulrich Brinkmann, eds. 2018.</w:t>
      </w:r>
      <w:r>
        <w:t xml:space="preserve"> </w:t>
      </w:r>
      <w:r>
        <w:rPr>
          <w:i/>
          <w:iCs/>
        </w:rPr>
        <w:t xml:space="preserve">Diagnostik Bei</w:t>
      </w:r>
      <w:r>
        <w:rPr>
          <w:i/>
          <w:iCs/>
        </w:rPr>
        <w:t xml:space="preserve"> </w:t>
      </w:r>
      <w:r>
        <w:rPr>
          <w:i/>
          <w:iCs/>
        </w:rPr>
        <w:t xml:space="preserve">Migrantinnen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Migranten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Ein</w:t>
      </w:r>
      <w:r>
        <w:rPr>
          <w:i/>
          <w:iCs/>
        </w:rPr>
        <w:t xml:space="preserve"> </w:t>
      </w:r>
      <w:r>
        <w:rPr>
          <w:i/>
          <w:iCs/>
        </w:rPr>
        <w:t xml:space="preserve">Handbuch</w:t>
      </w:r>
      <w:r>
        <w:t xml:space="preserve">. Hogrefe.</w:t>
      </w:r>
    </w:p>
    <w:bookmarkEnd w:id="45"/>
    <w:bookmarkStart w:id="46" w:name="ref-muellerboeschschaffnermenn2021udl"/>
    <w:p>
      <w:pPr>
        <w:pStyle w:val="Bibliography"/>
      </w:pPr>
      <w:r>
        <w:t xml:space="preserve">Müller Bösch, Cornelia, and Anita Schaffner Menn. 2021.</w:t>
      </w:r>
      <w:r>
        <w:t xml:space="preserve"> </w:t>
      </w:r>
      <w:r>
        <w:t xml:space="preserve">“Inklusiver</w:t>
      </w:r>
      <w:r>
        <w:t xml:space="preserve"> </w:t>
      </w:r>
      <w:r>
        <w:t xml:space="preserve">Unterricht</w:t>
      </w:r>
      <w:r>
        <w:t xml:space="preserve">:</w:t>
      </w:r>
      <w:r>
        <w:t xml:space="preserve"> </w:t>
      </w:r>
      <w:r>
        <w:t xml:space="preserve">Lernen</w:t>
      </w:r>
      <w:r>
        <w:t xml:space="preserve"> </w:t>
      </w:r>
      <w:r>
        <w:t xml:space="preserve">in einem universellen</w:t>
      </w:r>
      <w:r>
        <w:t xml:space="preserve"> </w:t>
      </w:r>
      <w:r>
        <w:t xml:space="preserve">Design</w:t>
      </w:r>
      <w:r>
        <w:t xml:space="preserve"> </w:t>
      </w:r>
      <w:r>
        <w:t xml:space="preserve">am gemeinsamen</w:t>
      </w:r>
      <w:r>
        <w:t xml:space="preserve"> </w:t>
      </w:r>
      <w:r>
        <w:t xml:space="preserve">Gegenstand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Inklusive</w:t>
      </w:r>
      <w:r>
        <w:rPr>
          <w:i/>
          <w:iCs/>
        </w:rPr>
        <w:t xml:space="preserve"> </w:t>
      </w:r>
      <w:r>
        <w:rPr>
          <w:i/>
          <w:iCs/>
        </w:rPr>
        <w:t xml:space="preserve">Pädagogik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Didaktik</w:t>
      </w:r>
      <w:r>
        <w:t xml:space="preserve">, 2nd ed., edited by André Kunz, Reto Luder, and Cornelia Müller Bösch. Hep Verlag.</w:t>
      </w:r>
    </w:p>
    <w:bookmarkEnd w:id="46"/>
    <w:bookmarkStart w:id="47" w:name="ref-muelleroppliger2021paeddiagnostik"/>
    <w:p>
      <w:pPr>
        <w:pStyle w:val="Bibliography"/>
      </w:pPr>
      <w:r>
        <w:t xml:space="preserve">Müller-Oppliger, Salomé. 2021.</w:t>
      </w:r>
      <w:r>
        <w:t xml:space="preserve"> </w:t>
      </w:r>
      <w:r>
        <w:t xml:space="preserve">“Pädagogische</w:t>
      </w:r>
      <w:r>
        <w:t xml:space="preserve"> </w:t>
      </w:r>
      <w:r>
        <w:t xml:space="preserve">Diagnostik</w:t>
      </w:r>
      <w:r>
        <w:t xml:space="preserve">:</w:t>
      </w:r>
      <w:r>
        <w:t xml:space="preserve"> </w:t>
      </w:r>
      <w:r>
        <w:t xml:space="preserve">Potenzialerfassung</w:t>
      </w:r>
      <w:r>
        <w:t xml:space="preserve"> </w:t>
      </w:r>
      <w:r>
        <w:t xml:space="preserve">Und</w:t>
      </w:r>
      <w:r>
        <w:t xml:space="preserve"> </w:t>
      </w:r>
      <w:r>
        <w:t xml:space="preserve">Förderdiagnostik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47"/>
    <w:bookmarkStart w:id="48" w:name="ref-muelleroppliger2021adaptive"/>
    <w:p>
      <w:pPr>
        <w:pStyle w:val="Bibliography"/>
      </w:pPr>
      <w:r>
        <w:t xml:space="preserve">Müller-Oppliger, Victor. 2021a.</w:t>
      </w:r>
      <w:r>
        <w:t xml:space="preserve"> </w:t>
      </w:r>
      <w:r>
        <w:t xml:space="preserve">“Adaptive</w:t>
      </w:r>
      <w:r>
        <w:t xml:space="preserve"> </w:t>
      </w:r>
      <w:r>
        <w:t xml:space="preserve">Lernarchitekturen</w:t>
      </w:r>
      <w:r>
        <w:t xml:space="preserve">:</w:t>
      </w:r>
      <w:r>
        <w:t xml:space="preserve"> </w:t>
      </w:r>
      <w:r>
        <w:t xml:space="preserve">Begabungs-</w:t>
      </w:r>
      <w:r>
        <w:t xml:space="preserve"> </w:t>
      </w:r>
      <w:r>
        <w:t xml:space="preserve">Und</w:t>
      </w:r>
      <w:r>
        <w:t xml:space="preserve"> </w:t>
      </w:r>
      <w:r>
        <w:t xml:space="preserve">Begabtenförderung</w:t>
      </w:r>
      <w:r>
        <w:t xml:space="preserve"> </w:t>
      </w:r>
      <w:r>
        <w:t xml:space="preserve">Innerhalb Der</w:t>
      </w:r>
      <w:r>
        <w:t xml:space="preserve"> </w:t>
      </w:r>
      <w:r>
        <w:t xml:space="preserve">Lerngemeinschaft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48"/>
    <w:bookmarkStart w:id="49" w:name="ref-muelleroppliger2021begabungsmodelle"/>
    <w:p>
      <w:pPr>
        <w:pStyle w:val="Bibliography"/>
      </w:pPr>
      <w:r>
        <w:t xml:space="preserve">Müller-Oppliger, Victor. 2021b.</w:t>
      </w:r>
      <w:r>
        <w:t xml:space="preserve"> </w:t>
      </w:r>
      <w:r>
        <w:t xml:space="preserve">“Begabungsmodelle:</w:t>
      </w:r>
      <w:r>
        <w:t xml:space="preserve"> </w:t>
      </w:r>
      <w:r>
        <w:t xml:space="preserve">Entwicklungslinien</w:t>
      </w:r>
      <w:r>
        <w:t xml:space="preserve"> </w:t>
      </w:r>
      <w:r>
        <w:t xml:space="preserve">Und</w:t>
      </w:r>
      <w:r>
        <w:t xml:space="preserve"> </w:t>
      </w:r>
      <w:r>
        <w:t xml:space="preserve">Positionen</w:t>
      </w:r>
      <w:r>
        <w:t xml:space="preserve"> </w:t>
      </w:r>
      <w:r>
        <w:t xml:space="preserve">Zur</w:t>
      </w:r>
      <w:r>
        <w:t xml:space="preserve"> </w:t>
      </w:r>
      <w:r>
        <w:t xml:space="preserve">Erfassung</w:t>
      </w:r>
      <w:r>
        <w:t xml:space="preserve"> </w:t>
      </w:r>
      <w:r>
        <w:t xml:space="preserve">Des</w:t>
      </w:r>
      <w:r>
        <w:t xml:space="preserve"> </w:t>
      </w:r>
      <w:r>
        <w:t xml:space="preserve">Phänomens</w:t>
      </w:r>
      <w:r>
        <w:t xml:space="preserve"> </w:t>
      </w:r>
      <w:r>
        <w:t xml:space="preserve">Der</w:t>
      </w:r>
      <w:r>
        <w:t xml:space="preserve"> </w:t>
      </w:r>
      <w:r>
        <w:t xml:space="preserve">Hochbegabung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49"/>
    <w:bookmarkStart w:id="50" w:name="ref-muelleroppliger2021plurale"/>
    <w:p>
      <w:pPr>
        <w:pStyle w:val="Bibliography"/>
      </w:pPr>
      <w:r>
        <w:t xml:space="preserve">Müller-Oppliger, Victor. 2021c.</w:t>
      </w:r>
      <w:r>
        <w:t xml:space="preserve"> </w:t>
      </w:r>
      <w:r>
        <w:t xml:space="preserve">“Plurale</w:t>
      </w:r>
      <w:r>
        <w:t xml:space="preserve"> </w:t>
      </w:r>
      <w:r>
        <w:t xml:space="preserve">Gesellschaft</w:t>
      </w:r>
      <w:r>
        <w:t xml:space="preserve">,</w:t>
      </w:r>
      <w:r>
        <w:t xml:space="preserve"> </w:t>
      </w:r>
      <w:r>
        <w:t xml:space="preserve">Inklusion</w:t>
      </w:r>
      <w:r>
        <w:t xml:space="preserve"> </w:t>
      </w:r>
      <w:r>
        <w:t xml:space="preserve">Und</w:t>
      </w:r>
      <w:r>
        <w:t xml:space="preserve"> </w:t>
      </w:r>
      <w:r>
        <w:t xml:space="preserve">Bildungsgerechtigkeit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50"/>
    <w:bookmarkStart w:id="51" w:name="ref-nguyensliwka2021massnahmen"/>
    <w:p>
      <w:pPr>
        <w:pStyle w:val="Bibliography"/>
      </w:pPr>
      <w:r>
        <w:t xml:space="preserve">Nguyen, Thuy Loan, and Anne Sliwka. 2021.</w:t>
      </w:r>
      <w:r>
        <w:t xml:space="preserve"> </w:t>
      </w:r>
      <w:r>
        <w:t xml:space="preserve">“Schulische</w:t>
      </w:r>
      <w:r>
        <w:t xml:space="preserve"> </w:t>
      </w:r>
      <w:r>
        <w:t xml:space="preserve">Massnahmen</w:t>
      </w:r>
      <w:r>
        <w:t xml:space="preserve"> </w:t>
      </w:r>
      <w:r>
        <w:t xml:space="preserve">Und</w:t>
      </w:r>
      <w:r>
        <w:t xml:space="preserve"> </w:t>
      </w:r>
      <w:r>
        <w:t xml:space="preserve">Kompetenzen</w:t>
      </w:r>
      <w:r>
        <w:t xml:space="preserve"> </w:t>
      </w:r>
      <w:r>
        <w:t xml:space="preserve">von</w:t>
      </w:r>
      <w:r>
        <w:t xml:space="preserve"> </w:t>
      </w:r>
      <w:r>
        <w:t xml:space="preserve">Lehrpersonen</w:t>
      </w:r>
      <w:r>
        <w:t xml:space="preserve"> </w:t>
      </w:r>
      <w:r>
        <w:t xml:space="preserve">Für Die</w:t>
      </w:r>
      <w:r>
        <w:t xml:space="preserve"> </w:t>
      </w:r>
      <w:r>
        <w:t xml:space="preserve">Begabungsförderung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51"/>
    <w:bookmarkStart w:id="52" w:name="ref-nottbusch2017graphomotorik"/>
    <w:p>
      <w:pPr>
        <w:pStyle w:val="Bibliography"/>
      </w:pPr>
      <w:r>
        <w:t xml:space="preserve">Nottbusch, Guido. 2017.</w:t>
      </w:r>
      <w:r>
        <w:t xml:space="preserve"> </w:t>
      </w:r>
      <w:r>
        <w:t xml:space="preserve">“Graphomotorik.”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Forschungshandbuch Empirische</w:t>
      </w:r>
      <w:r>
        <w:rPr>
          <w:i/>
          <w:iCs/>
        </w:rPr>
        <w:t xml:space="preserve"> </w:t>
      </w:r>
      <w:r>
        <w:rPr>
          <w:i/>
          <w:iCs/>
        </w:rPr>
        <w:t xml:space="preserve">Schreibdidaktik</w:t>
      </w:r>
      <w:r>
        <w:t xml:space="preserve">, edited by Michael Becker-Mrotzek, Joachim Grabowski, and Torsten Steinhoff. Waxmann.</w:t>
      </w:r>
    </w:p>
    <w:bookmarkEnd w:id="52"/>
    <w:bookmarkStart w:id="53" w:name="ref-reisrenzullimueller2021sem"/>
    <w:p>
      <w:pPr>
        <w:pStyle w:val="Bibliography"/>
      </w:pPr>
      <w:r>
        <w:t xml:space="preserve">Reis, Sally M., Joseph S. Renzulli, and Victor Müller-Oppliger. 2021.</w:t>
      </w:r>
      <w:r>
        <w:t xml:space="preserve"> </w:t>
      </w:r>
      <w:r>
        <w:t xml:space="preserve">“Das</w:t>
      </w:r>
      <w:r>
        <w:t xml:space="preserve"> </w:t>
      </w:r>
      <w:r>
        <w:t xml:space="preserve">Schoolwide</w:t>
      </w:r>
      <w:r>
        <w:t xml:space="preserve"> </w:t>
      </w:r>
      <w:r>
        <w:t xml:space="preserve">Enrichment</w:t>
      </w:r>
      <w:r>
        <w:t xml:space="preserve"> </w:t>
      </w:r>
      <w:r>
        <w:t xml:space="preserve">Model</w:t>
      </w:r>
      <w:r>
        <w:t xml:space="preserve"> </w:t>
      </w:r>
      <w:r>
        <w:t xml:space="preserve">(</w:t>
      </w:r>
      <w:r>
        <w:t xml:space="preserve">SEM</w:t>
      </w:r>
      <w:r>
        <w:t xml:space="preserve">):</w:t>
      </w:r>
      <w:r>
        <w:t xml:space="preserve"> </w:t>
      </w:r>
      <w:r>
        <w:t xml:space="preserve">Vier</w:t>
      </w:r>
      <w:r>
        <w:t xml:space="preserve"> </w:t>
      </w:r>
      <w:r>
        <w:t xml:space="preserve">Jahrzehnte</w:t>
      </w:r>
      <w:r>
        <w:t xml:space="preserve"> </w:t>
      </w:r>
      <w:r>
        <w:t xml:space="preserve">Forschung</w:t>
      </w:r>
      <w:r>
        <w:t xml:space="preserve"> </w:t>
      </w:r>
      <w:r>
        <w:t xml:space="preserve">Zur</w:t>
      </w:r>
      <w:r>
        <w:t xml:space="preserve"> </w:t>
      </w:r>
      <w:r>
        <w:t xml:space="preserve">Entwicklung</w:t>
      </w:r>
      <w:r>
        <w:t xml:space="preserve"> </w:t>
      </w:r>
      <w:r>
        <w:t xml:space="preserve">von</w:t>
      </w:r>
      <w:r>
        <w:t xml:space="preserve"> </w:t>
      </w:r>
      <w:r>
        <w:t xml:space="preserve">Talenten</w:t>
      </w:r>
      <w:r>
        <w:t xml:space="preserve"> </w:t>
      </w:r>
      <w:r>
        <w:t xml:space="preserve">Und Kreativer</w:t>
      </w:r>
      <w:r>
        <w:t xml:space="preserve"> </w:t>
      </w:r>
      <w:r>
        <w:t xml:space="preserve">Produktivität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53"/>
    <w:bookmarkStart w:id="55" w:name="ref-saegesserwyss2021grafinkrahmenmodell"/>
    <w:p>
      <w:pPr>
        <w:pStyle w:val="Bibliography"/>
      </w:pPr>
      <w:r>
        <w:t xml:space="preserve">Sägesser Wyss, Judith, Caroline Sahli Lozano, and Michael Eckhart. 2021.</w:t>
      </w:r>
      <w:r>
        <w:t xml:space="preserve"> </w:t>
      </w:r>
      <w:r>
        <w:t xml:space="preserve">“Grafomotorik und schulische</w:t>
      </w:r>
      <w:r>
        <w:t xml:space="preserve"> </w:t>
      </w:r>
      <w:r>
        <w:t xml:space="preserve">Inklusion</w:t>
      </w:r>
      <w:r>
        <w:t xml:space="preserve">:</w:t>
      </w:r>
      <w:r>
        <w:t xml:space="preserve"> </w:t>
      </w:r>
      <w:r>
        <w:t xml:space="preserve">Entwicklung</w:t>
      </w:r>
      <w:r>
        <w:t xml:space="preserve"> </w:t>
      </w:r>
      <w:r>
        <w:t xml:space="preserve">und</w:t>
      </w:r>
      <w:r>
        <w:t xml:space="preserve"> </w:t>
      </w:r>
      <w:r>
        <w:t xml:space="preserve">Anwendung</w:t>
      </w:r>
      <w:r>
        <w:t xml:space="preserve"> </w:t>
      </w:r>
      <w:r>
        <w:t xml:space="preserve">eines</w:t>
      </w:r>
      <w:r>
        <w:t xml:space="preserve"> </w:t>
      </w:r>
      <w:r>
        <w:t xml:space="preserve">Rahmenmodells</w:t>
      </w:r>
      <w:r>
        <w:t xml:space="preserve">.”</w:t>
      </w:r>
      <w:r>
        <w:t xml:space="preserve"> </w:t>
      </w:r>
      <w:r>
        <w:t xml:space="preserve">Postprint, ResearchGate.</w:t>
      </w:r>
      <w:r>
        <w:t xml:space="preserve"> </w:t>
      </w:r>
      <w:hyperlink r:id="rId54">
        <w:r>
          <w:rPr>
            <w:rStyle w:val="Hyperlink"/>
          </w:rPr>
          <w:t xml:space="preserve">https://www.researchgate.net/publication/364343848</w:t>
        </w:r>
      </w:hyperlink>
      <w:r>
        <w:t xml:space="preserve">.</w:t>
      </w:r>
    </w:p>
    <w:bookmarkEnd w:id="55"/>
    <w:bookmarkStart w:id="56" w:name="ref-sedmak2021bildungsgerechtigkeit"/>
    <w:p>
      <w:pPr>
        <w:pStyle w:val="Bibliography"/>
      </w:pPr>
      <w:r>
        <w:t xml:space="preserve">Sedmak, Clemens, and Elisabeth Kapferer. 2021.</w:t>
      </w:r>
      <w:r>
        <w:t xml:space="preserve"> </w:t>
      </w:r>
      <w:r>
        <w:t xml:space="preserve">“Begabtenförderung Und</w:t>
      </w:r>
      <w:r>
        <w:t xml:space="preserve"> </w:t>
      </w:r>
      <w:r>
        <w:t xml:space="preserve">Bildungsgerechtigkeit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56"/>
    <w:bookmarkStart w:id="57" w:name="ref-stamm2021fehlenderblick"/>
    <w:p>
      <w:pPr>
        <w:pStyle w:val="Bibliography"/>
      </w:pPr>
      <w:r>
        <w:t xml:space="preserve">Stamm, Margrit. 2021.</w:t>
      </w:r>
      <w:r>
        <w:t xml:space="preserve"> </w:t>
      </w:r>
      <w:r>
        <w:t xml:space="preserve">“Der Fehlende</w:t>
      </w:r>
      <w:r>
        <w:t xml:space="preserve"> </w:t>
      </w:r>
      <w:r>
        <w:t xml:space="preserve">Blick</w:t>
      </w:r>
      <w:r>
        <w:t xml:space="preserve"> </w:t>
      </w:r>
      <w:r>
        <w:t xml:space="preserve">Auf Begabte</w:t>
      </w:r>
      <w:r>
        <w:t xml:space="preserve"> </w:t>
      </w:r>
      <w:r>
        <w:t xml:space="preserve">Minoritäten</w:t>
      </w:r>
      <w:r>
        <w:t xml:space="preserve">:</w:t>
      </w:r>
      <w:r>
        <w:t xml:space="preserve"> </w:t>
      </w:r>
      <w:r>
        <w:t xml:space="preserve">Blinde</w:t>
      </w:r>
      <w:r>
        <w:t xml:space="preserve"> </w:t>
      </w:r>
      <w:r>
        <w:t xml:space="preserve">Flecken</w:t>
      </w:r>
      <w:r>
        <w:t xml:space="preserve"> </w:t>
      </w:r>
      <w:r>
        <w:t xml:space="preserve">Der</w:t>
      </w:r>
      <w:r>
        <w:t xml:space="preserve"> </w:t>
      </w:r>
      <w:r>
        <w:t xml:space="preserve">Begabtenförderung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57"/>
    <w:bookmarkStart w:id="59" w:name="X68422795b603a89efa684e3dbb10bdf96417b8f"/>
    <w:p>
      <w:pPr>
        <w:pStyle w:val="Bibliography"/>
      </w:pPr>
      <w:r>
        <w:t xml:space="preserve">Tschopp, Cécile, Alois Buholzer, and Jeanine Grütter. 2022.</w:t>
      </w:r>
      <w:r>
        <w:t xml:space="preserve"> </w:t>
      </w:r>
      <w:r>
        <w:t xml:space="preserve">“Soziale</w:t>
      </w:r>
      <w:r>
        <w:t xml:space="preserve"> </w:t>
      </w:r>
      <w:r>
        <w:t xml:space="preserve">Teilhabe</w:t>
      </w:r>
      <w:r>
        <w:t xml:space="preserve"> </w:t>
      </w:r>
      <w:r>
        <w:t xml:space="preserve">durch</w:t>
      </w:r>
      <w:r>
        <w:t xml:space="preserve"> </w:t>
      </w:r>
      <w:r>
        <w:t xml:space="preserve">Intergruppenkontakt</w:t>
      </w:r>
      <w:r>
        <w:t xml:space="preserve">:</w:t>
      </w:r>
      <w:r>
        <w:t xml:space="preserve"> </w:t>
      </w:r>
      <w:r>
        <w:t xml:space="preserve">Wie</w:t>
      </w:r>
      <w:r>
        <w:t xml:space="preserve"> </w:t>
      </w:r>
      <w:r>
        <w:t xml:space="preserve">Freundschaften</w:t>
      </w:r>
      <w:r>
        <w:t xml:space="preserve"> </w:t>
      </w:r>
      <w:r>
        <w:t xml:space="preserve">von</w:t>
      </w:r>
      <w:r>
        <w:t xml:space="preserve"> </w:t>
      </w:r>
      <w:r>
        <w:t xml:space="preserve">Kindern</w:t>
      </w:r>
      <w:r>
        <w:t xml:space="preserve"> </w:t>
      </w:r>
      <w:r>
        <w:t xml:space="preserve">mit heilpädagogischem</w:t>
      </w:r>
      <w:r>
        <w:t xml:space="preserve"> </w:t>
      </w:r>
      <w:r>
        <w:t xml:space="preserve">Förderbedarf</w:t>
      </w:r>
      <w:r>
        <w:t xml:space="preserve"> </w:t>
      </w:r>
      <w:r>
        <w:t xml:space="preserve">unterstützt werden können.”</w:t>
      </w:r>
      <w:r>
        <w:t xml:space="preserve"> </w:t>
      </w:r>
      <w:r>
        <w:rPr>
          <w:i/>
          <w:iCs/>
        </w:rPr>
        <w:t xml:space="preserve">Schweizerische</w:t>
      </w:r>
      <w:r>
        <w:rPr>
          <w:i/>
          <w:iCs/>
        </w:rPr>
        <w:t xml:space="preserve"> </w:t>
      </w:r>
      <w:r>
        <w:rPr>
          <w:i/>
          <w:iCs/>
        </w:rPr>
        <w:t xml:space="preserve">Zeitschrift</w:t>
      </w:r>
      <w:r>
        <w:rPr>
          <w:i/>
          <w:iCs/>
        </w:rPr>
        <w:t xml:space="preserve"> </w:t>
      </w:r>
      <w:r>
        <w:rPr>
          <w:i/>
          <w:iCs/>
        </w:rPr>
        <w:t xml:space="preserve">für</w:t>
      </w:r>
      <w:r>
        <w:rPr>
          <w:i/>
          <w:iCs/>
        </w:rPr>
        <w:t xml:space="preserve"> </w:t>
      </w:r>
      <w:r>
        <w:rPr>
          <w:i/>
          <w:iCs/>
        </w:rPr>
        <w:t xml:space="preserve">Heilpädagogik</w:t>
      </w:r>
      <w:r>
        <w:t xml:space="preserve"> </w:t>
      </w:r>
      <w:r>
        <w:t xml:space="preserve">28 (9): 35–41.</w:t>
      </w:r>
      <w:r>
        <w:t xml:space="preserve"> </w:t>
      </w:r>
      <w:hyperlink r:id="rId58">
        <w:r>
          <w:rPr>
            <w:rStyle w:val="Hyperlink"/>
          </w:rPr>
          <w:t xml:space="preserve">https://ojs.szh.ch/index.php/zeitschrift/article/view/1030</w:t>
        </w:r>
      </w:hyperlink>
      <w:r>
        <w:t xml:space="preserve">.</w:t>
      </w:r>
    </w:p>
    <w:bookmarkEnd w:id="59"/>
    <w:bookmarkStart w:id="60" w:name="ref-wagener2021bfhemmendfoerdernd"/>
    <w:p>
      <w:pPr>
        <w:pStyle w:val="Bibliography"/>
      </w:pPr>
      <w:r>
        <w:t xml:space="preserve">Wagner, Gundula. 2021.</w:t>
      </w:r>
      <w:r>
        <w:t xml:space="preserve"> </w:t>
      </w:r>
      <w:r>
        <w:t xml:space="preserve">“Begabungsfördernde Und Hemmende</w:t>
      </w:r>
      <w:r>
        <w:t xml:space="preserve"> </w:t>
      </w:r>
      <w:r>
        <w:t xml:space="preserve">Wirkungsmechanismen</w:t>
      </w:r>
      <w:r>
        <w:t xml:space="preserve"> </w:t>
      </w:r>
      <w:r>
        <w:t xml:space="preserve">Im</w:t>
      </w:r>
      <w:r>
        <w:t xml:space="preserve"> </w:t>
      </w:r>
      <w:r>
        <w:t xml:space="preserve">Klassenkontext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60"/>
    <w:bookmarkStart w:id="61" w:name="ref-webb2020doppeldiagnosen"/>
    <w:p>
      <w:pPr>
        <w:pStyle w:val="Bibliography"/>
      </w:pPr>
      <w:r>
        <w:t xml:space="preserve">Webb, James T., Edward R. Amend, Paul Beljan, et al. 2020.</w:t>
      </w:r>
      <w:r>
        <w:t xml:space="preserve"> </w:t>
      </w:r>
      <w:r>
        <w:rPr>
          <w:i/>
          <w:iCs/>
        </w:rPr>
        <w:t xml:space="preserve">Doppeldiagnosen Und</w:t>
      </w:r>
      <w:r>
        <w:rPr>
          <w:i/>
          <w:iCs/>
        </w:rPr>
        <w:t xml:space="preserve"> </w:t>
      </w:r>
      <w:r>
        <w:rPr>
          <w:i/>
          <w:iCs/>
        </w:rPr>
        <w:t xml:space="preserve">Fehldiagnosen</w:t>
      </w:r>
      <w:r>
        <w:rPr>
          <w:i/>
          <w:iCs/>
        </w:rPr>
        <w:t xml:space="preserve"> </w:t>
      </w:r>
      <w:r>
        <w:rPr>
          <w:i/>
          <w:iCs/>
        </w:rPr>
        <w:t xml:space="preserve">Bei</w:t>
      </w:r>
      <w:r>
        <w:rPr>
          <w:i/>
          <w:iCs/>
        </w:rPr>
        <w:t xml:space="preserve"> </w:t>
      </w:r>
      <w:r>
        <w:rPr>
          <w:i/>
          <w:iCs/>
        </w:rPr>
        <w:t xml:space="preserve">Hochbegabung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Ein</w:t>
      </w:r>
      <w:r>
        <w:rPr>
          <w:i/>
          <w:iCs/>
        </w:rPr>
        <w:t xml:space="preserve"> </w:t>
      </w:r>
      <w:r>
        <w:rPr>
          <w:i/>
          <w:iCs/>
        </w:rPr>
        <w:t xml:space="preserve">Ratgeber</w:t>
      </w:r>
      <w:r>
        <w:rPr>
          <w:i/>
          <w:iCs/>
        </w:rPr>
        <w:t xml:space="preserve"> </w:t>
      </w:r>
      <w:r>
        <w:rPr>
          <w:i/>
          <w:iCs/>
        </w:rPr>
        <w:t xml:space="preserve">Für</w:t>
      </w:r>
      <w:r>
        <w:rPr>
          <w:i/>
          <w:iCs/>
        </w:rPr>
        <w:t xml:space="preserve"> </w:t>
      </w:r>
      <w:r>
        <w:rPr>
          <w:i/>
          <w:iCs/>
        </w:rPr>
        <w:t xml:space="preserve">Fachpersonen</w:t>
      </w:r>
      <w:r>
        <w:rPr>
          <w:i/>
          <w:iCs/>
        </w:rPr>
        <w:t xml:space="preserve"> </w:t>
      </w:r>
      <w:r>
        <w:rPr>
          <w:i/>
          <w:iCs/>
        </w:rPr>
        <w:t xml:space="preserve">Und</w:t>
      </w:r>
      <w:r>
        <w:rPr>
          <w:i/>
          <w:iCs/>
        </w:rPr>
        <w:t xml:space="preserve"> </w:t>
      </w:r>
      <w:r>
        <w:rPr>
          <w:i/>
          <w:iCs/>
        </w:rPr>
        <w:t xml:space="preserve">Betroffene</w:t>
      </w:r>
      <w:r>
        <w:t xml:space="preserve">. 2nd ed. Hogrefe.</w:t>
      </w:r>
    </w:p>
    <w:bookmarkEnd w:id="61"/>
    <w:bookmarkStart w:id="62" w:name="ref-weigand2021person"/>
    <w:p>
      <w:pPr>
        <w:pStyle w:val="Bibliography"/>
      </w:pPr>
      <w:r>
        <w:t xml:space="preserve">Weigand, Gabriele. 2021.</w:t>
      </w:r>
      <w:r>
        <w:t xml:space="preserve"> </w:t>
      </w:r>
      <w:r>
        <w:t xml:space="preserve">“Begabung,</w:t>
      </w:r>
      <w:r>
        <w:t xml:space="preserve"> </w:t>
      </w:r>
      <w:r>
        <w:t xml:space="preserve">Bildung</w:t>
      </w:r>
      <w:r>
        <w:t xml:space="preserve"> </w:t>
      </w:r>
      <w:r>
        <w:t xml:space="preserve">Und</w:t>
      </w:r>
      <w:r>
        <w:t xml:space="preserve"> </w:t>
      </w:r>
      <w:r>
        <w:t xml:space="preserve">Person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</w:t>
      </w:r>
      <w:r>
        <w:rPr>
          <w:i/>
          <w:iCs/>
        </w:rPr>
        <w:t xml:space="preserve"> </w:t>
      </w:r>
      <w:r>
        <w:rPr>
          <w:i/>
          <w:iCs/>
        </w:rPr>
        <w:t xml:space="preserve">Begabung</w:t>
      </w:r>
      <w:r>
        <w:t xml:space="preserve">, edited by Victor Müller-Oppliger and Gabriele Weigand. Beltz.</w:t>
      </w:r>
    </w:p>
    <w:bookmarkEnd w:id="62"/>
    <w:bookmarkStart w:id="63" w:name="ref-widmerwolf2018multiprofessionell"/>
    <w:p>
      <w:pPr>
        <w:pStyle w:val="Bibliography"/>
      </w:pPr>
      <w:r>
        <w:t xml:space="preserve">Widmer-Wolf, Patrik. 2018.</w:t>
      </w:r>
      <w:r>
        <w:t xml:space="preserve"> </w:t>
      </w:r>
      <w:r>
        <w:t xml:space="preserve">“Kooperation in multiprofessionellen</w:t>
      </w:r>
      <w:r>
        <w:t xml:space="preserve"> </w:t>
      </w:r>
      <w:r>
        <w:t xml:space="preserve">Teams</w:t>
      </w:r>
      <w:r>
        <w:t xml:space="preserve"> </w:t>
      </w:r>
      <w:r>
        <w:t xml:space="preserve">an inklusiven</w:t>
      </w:r>
      <w:r>
        <w:t xml:space="preserve"> </w:t>
      </w:r>
      <w:r>
        <w:t xml:space="preserve">Schulen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Handbuch schulische</w:t>
      </w:r>
      <w:r>
        <w:rPr>
          <w:i/>
          <w:iCs/>
        </w:rPr>
        <w:t xml:space="preserve"> </w:t>
      </w:r>
      <w:r>
        <w:rPr>
          <w:i/>
          <w:iCs/>
        </w:rPr>
        <w:t xml:space="preserve">Inklusion</w:t>
      </w:r>
      <w:r>
        <w:t xml:space="preserve">, edited by Tanja Sturm and Monika Wagner-Willi. Verlag Barbara Budrich.</w:t>
      </w:r>
    </w:p>
    <w:bookmarkEnd w:id="63"/>
    <w:bookmarkStart w:id="64" w:name="ref-who2007icfcy"/>
    <w:p>
      <w:pPr>
        <w:pStyle w:val="Bibliography"/>
      </w:pPr>
      <w:r>
        <w:t xml:space="preserve">World Health Organization. 2007.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Functioning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Disability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Children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Youth</w:t>
      </w:r>
      <w:r>
        <w:rPr>
          <w:i/>
          <w:iCs/>
        </w:rPr>
        <w:t xml:space="preserve"> </w:t>
      </w:r>
      <w:r>
        <w:rPr>
          <w:i/>
          <w:iCs/>
        </w:rPr>
        <w:t xml:space="preserve">Version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ICF-CY</w:t>
      </w:r>
      <w:r>
        <w:rPr>
          <w:i/>
          <w:iCs/>
        </w:rPr>
        <w:t xml:space="preserve">)</w:t>
      </w:r>
      <w:r>
        <w:t xml:space="preserve">. WHO Press.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07/978-3-642-41291-2_12" TargetMode="External" /><Relationship Type="http://schemas.openxmlformats.org/officeDocument/2006/relationships/hyperlink" Id="rId20" Target="https://doi.org/10.11576/pflb-5878" TargetMode="External" /><Relationship Type="http://schemas.openxmlformats.org/officeDocument/2006/relationships/hyperlink" Id="rId41" Target="https://doi.org/10.25656/01:17448" TargetMode="External" /><Relationship Type="http://schemas.openxmlformats.org/officeDocument/2006/relationships/hyperlink" Id="rId17" Target="https://doi.org/10.25656/01:33972" TargetMode="External" /><Relationship Type="http://schemas.openxmlformats.org/officeDocument/2006/relationships/hyperlink" Id="rId27" Target="https://doi.org/10.3262/ZP2004461" TargetMode="External" /><Relationship Type="http://schemas.openxmlformats.org/officeDocument/2006/relationships/hyperlink" Id="rId33" Target="https://doi.org/10.58098/lffl/2020/3/711" TargetMode="External" /><Relationship Type="http://schemas.openxmlformats.org/officeDocument/2006/relationships/hyperlink" Id="rId58" Target="https://ojs.szh.ch/index.php/zeitschrift/article/view/1030" TargetMode="External" /><Relationship Type="http://schemas.openxmlformats.org/officeDocument/2006/relationships/hyperlink" Id="rId54" Target="https://www.researchgate.net/publication/36434384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07/978-3-642-41291-2_12" TargetMode="External" /><Relationship Type="http://schemas.openxmlformats.org/officeDocument/2006/relationships/hyperlink" Id="rId20" Target="https://doi.org/10.11576/pflb-5878" TargetMode="External" /><Relationship Type="http://schemas.openxmlformats.org/officeDocument/2006/relationships/hyperlink" Id="rId41" Target="https://doi.org/10.25656/01:17448" TargetMode="External" /><Relationship Type="http://schemas.openxmlformats.org/officeDocument/2006/relationships/hyperlink" Id="rId17" Target="https://doi.org/10.25656/01:33972" TargetMode="External" /><Relationship Type="http://schemas.openxmlformats.org/officeDocument/2006/relationships/hyperlink" Id="rId27" Target="https://doi.org/10.3262/ZP2004461" TargetMode="External" /><Relationship Type="http://schemas.openxmlformats.org/officeDocument/2006/relationships/hyperlink" Id="rId33" Target="https://doi.org/10.58098/lffl/2020/3/711" TargetMode="External" /><Relationship Type="http://schemas.openxmlformats.org/officeDocument/2006/relationships/hyperlink" Id="rId58" Target="https://ojs.szh.ch/index.php/zeitschrift/article/view/1030" TargetMode="External" /><Relationship Type="http://schemas.openxmlformats.org/officeDocument/2006/relationships/hyperlink" Id="rId54" Target="https://www.researchgate.net/publication/36434384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2026-05-30T15:47:31Z</dcterms:created>
  <dcterms:modified xsi:type="dcterms:W3CDTF">2026-05-30T15:47:31Z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Quellen.bib</vt:lpwstr>
  </property>
</Properties>
</file>