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C8C5" w14:textId="77777777" w:rsidR="00AD5234" w:rsidRPr="00AD5234" w:rsidRDefault="00AD5234" w:rsidP="00AD5234">
      <w:pPr>
        <w:spacing w:before="100" w:beforeAutospacing="1" w:after="100" w:afterAutospacing="1" w:line="240" w:lineRule="auto"/>
        <w:outlineLvl w:val="1"/>
        <w:rPr>
          <w:rFonts w:eastAsia="Times New Roman" w:cs="Times New Roman"/>
          <w:b/>
          <w:bCs/>
          <w:kern w:val="0"/>
          <w:sz w:val="36"/>
          <w:szCs w:val="36"/>
          <w:lang w:eastAsia="de-DE"/>
          <w14:ligatures w14:val="none"/>
        </w:rPr>
      </w:pPr>
      <w:r w:rsidRPr="00AD5234">
        <w:rPr>
          <w:rFonts w:eastAsia="Times New Roman" w:cs="Times New Roman"/>
          <w:b/>
          <w:bCs/>
          <w:kern w:val="0"/>
          <w:sz w:val="36"/>
          <w:szCs w:val="36"/>
          <w:lang w:eastAsia="de-DE"/>
          <w14:ligatures w14:val="none"/>
        </w:rPr>
        <w:t>Verbesserte Sprechfassung Vortrag 2 – ENTLASTEN</w:t>
      </w:r>
    </w:p>
    <w:p w14:paraId="258826E1"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b/>
          <w:bCs/>
          <w:kern w:val="0"/>
          <w:lang w:eastAsia="de-DE"/>
          <w14:ligatures w14:val="none"/>
        </w:rPr>
        <w:t>Frage:</w:t>
      </w:r>
      <w:r w:rsidRPr="00AD5234">
        <w:rPr>
          <w:rFonts w:eastAsia="Times New Roman" w:cs="Times New Roman"/>
          <w:kern w:val="0"/>
          <w:lang w:eastAsia="de-DE"/>
          <w14:ligatures w14:val="none"/>
        </w:rPr>
        <w:t xml:space="preserve"> Welche sensomotorischen und schriftsprachlichen Faktoren können dazu beitragen, dass kognitive Potenziale verdeckt bleiben, und wie lassen sie sich ressourcenorientiert bearbeiten?</w:t>
      </w:r>
      <w:r w:rsidRPr="00AD5234">
        <w:rPr>
          <w:rFonts w:eastAsia="Times New Roman" w:cs="Times New Roman"/>
          <w:kern w:val="0"/>
          <w:lang w:eastAsia="de-DE"/>
          <w14:ligatures w14:val="none"/>
        </w:rPr>
        <w:br/>
      </w:r>
      <w:r w:rsidRPr="00AD5234">
        <w:rPr>
          <w:rFonts w:eastAsia="Times New Roman" w:cs="Times New Roman"/>
          <w:b/>
          <w:bCs/>
          <w:kern w:val="0"/>
          <w:lang w:eastAsia="de-DE"/>
          <w14:ligatures w14:val="none"/>
        </w:rPr>
        <w:t>Umfang:</w:t>
      </w:r>
      <w:r w:rsidRPr="00AD5234">
        <w:rPr>
          <w:rFonts w:eastAsia="Times New Roman" w:cs="Times New Roman"/>
          <w:kern w:val="0"/>
          <w:lang w:eastAsia="de-DE"/>
          <w14:ligatures w14:val="none"/>
        </w:rPr>
        <w:t xml:space="preserve"> ca. 620 Wörter</w:t>
      </w:r>
    </w:p>
    <w:p w14:paraId="73483C35" w14:textId="77777777" w:rsidR="00AD5234" w:rsidRPr="00AD5234" w:rsidRDefault="0023764C" w:rsidP="00AD5234">
      <w:pPr>
        <w:spacing w:after="0" w:line="240" w:lineRule="auto"/>
        <w:rPr>
          <w:rFonts w:eastAsia="Times New Roman" w:cs="Times New Roman"/>
          <w:kern w:val="0"/>
          <w:lang w:eastAsia="de-DE"/>
          <w14:ligatures w14:val="none"/>
        </w:rPr>
      </w:pPr>
      <w:r w:rsidRPr="0023764C">
        <w:rPr>
          <w:rFonts w:eastAsia="Times New Roman" w:cs="Times New Roman"/>
          <w:noProof/>
          <w:kern w:val="0"/>
          <w:lang w:eastAsia="de-DE"/>
        </w:rPr>
        <w:pict w14:anchorId="0867EE47">
          <v:rect id="_x0000_i1025" alt="" style="width:453.6pt;height:.05pt;mso-width-percent:0;mso-height-percent:0;mso-width-percent:0;mso-height-percent:0" o:hralign="center" o:hrstd="t" o:hr="t" fillcolor="#a0a0a0" stroked="f"/>
        </w:pict>
      </w:r>
    </w:p>
    <w:p w14:paraId="353ABF7B"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Ich gehe nun zum Südosten des Plakats: </w:t>
      </w:r>
      <w:r w:rsidRPr="00AD5234">
        <w:rPr>
          <w:rFonts w:eastAsia="Times New Roman" w:cs="Times New Roman"/>
          <w:b/>
          <w:bCs/>
          <w:kern w:val="0"/>
          <w:lang w:eastAsia="de-DE"/>
          <w14:ligatures w14:val="none"/>
        </w:rPr>
        <w:t>ENTLASTEN</w:t>
      </w:r>
      <w:r w:rsidRPr="00AD5234">
        <w:rPr>
          <w:rFonts w:eastAsia="Times New Roman" w:cs="Times New Roman"/>
          <w:kern w:val="0"/>
          <w:lang w:eastAsia="de-DE"/>
          <w14:ligatures w14:val="none"/>
        </w:rPr>
        <w:t>.</w:t>
      </w:r>
    </w:p>
    <w:p w14:paraId="29D09FB0"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Der Deckel zeigt zuerst die sichtbare Oberfläche: inkonsistente Buchstabenformen, nicht automatisierte Abläufe und eine Leseflüssigkeit von 17 Wörtern pro Minute. Diese Darstellung ist bewusst nicht als Defizit-Etikett gemeint. Sie zeigt eine </w:t>
      </w:r>
      <w:r w:rsidRPr="00AD5234">
        <w:rPr>
          <w:rFonts w:eastAsia="Times New Roman" w:cs="Times New Roman"/>
          <w:b/>
          <w:bCs/>
          <w:kern w:val="0"/>
          <w:lang w:eastAsia="de-DE"/>
          <w14:ligatures w14:val="none"/>
        </w:rPr>
        <w:t>Barriere</w:t>
      </w:r>
      <w:r w:rsidRPr="00AD5234">
        <w:rPr>
          <w:rFonts w:eastAsia="Times New Roman" w:cs="Times New Roman"/>
          <w:kern w:val="0"/>
          <w:lang w:eastAsia="de-DE"/>
          <w14:ligatures w14:val="none"/>
        </w:rPr>
        <w:t xml:space="preserve">. Meine These lautet deshalb: Bei S. liegt das zentrale Problem nicht im Denken, sondern im Zugang. Wenn Schreiben alles bindet, bleibt Denken unsichtbar. Wenn Lesen alle Kapazität frisst, bleibt Verstehen verschlossen. Genau darum heisst diese Station nicht „vereinfachen“, sondern </w:t>
      </w:r>
      <w:r w:rsidRPr="00AD5234">
        <w:rPr>
          <w:rFonts w:eastAsia="Times New Roman" w:cs="Times New Roman"/>
          <w:b/>
          <w:bCs/>
          <w:kern w:val="0"/>
          <w:lang w:eastAsia="de-DE"/>
          <w14:ligatures w14:val="none"/>
        </w:rPr>
        <w:t>entlasten</w:t>
      </w:r>
      <w:r w:rsidRPr="00AD5234">
        <w:rPr>
          <w:rFonts w:eastAsia="Times New Roman" w:cs="Times New Roman"/>
          <w:kern w:val="0"/>
          <w:lang w:eastAsia="de-DE"/>
          <w14:ligatures w14:val="none"/>
        </w:rPr>
        <w:t>.</w:t>
      </w:r>
    </w:p>
    <w:p w14:paraId="438AD9C9"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Auf dem Plakat wird diese Logik als Brücke dargestellt: Auf dem einen Ufer liegt die Verdeckung durch Schrift, Lesen und Planungsarbeit. Auf dem anderen Ufer liegt die Sichtbarkeit von S.s Potenzial. Im SOLUX-Setting zeigt S. Mustererkennung, strategisches Schachdenken, mathematisches Verständnis und ausdauernde Konzentration. Sobald aber Schreiben oder Lesen verlangt werden, bricht diese Dynamik ab. Das ist kein Widerspruch. Es zeigt, dass die Brücke zwischen Denken und Ausdruck noch nicht tragfähig ist.</w:t>
      </w:r>
    </w:p>
    <w:p w14:paraId="40D1CC5C"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Der erste tragende Faktor ist die </w:t>
      </w:r>
      <w:r w:rsidRPr="00AD5234">
        <w:rPr>
          <w:rFonts w:eastAsia="Times New Roman" w:cs="Times New Roman"/>
          <w:b/>
          <w:bCs/>
          <w:kern w:val="0"/>
          <w:lang w:eastAsia="de-DE"/>
          <w14:ligatures w14:val="none"/>
        </w:rPr>
        <w:t>Graphomotorik</w:t>
      </w:r>
      <w:r w:rsidRPr="00AD5234">
        <w:rPr>
          <w:rFonts w:eastAsia="Times New Roman" w:cs="Times New Roman"/>
          <w:kern w:val="0"/>
          <w:lang w:eastAsia="de-DE"/>
          <w14:ligatures w14:val="none"/>
        </w:rPr>
        <w:t>. Nottbusch beschreibt Schreiben als hierarchischen Prozess: motorische Ausführung, lexikalischer Abruf, syntaktische Planung und inhaltliche Konzeption bauen aufeinander auf. Hurschler Lichtsteiner ergänzt, dass nicht automatisierte Schreibbewegungen Arbeitsgedächtnis binden. Bei S. sieht man genau das: unterschiedliche Formen desselben Buchstabens, unsichere Abläufe, geringe Geläufigkeit. Die Hand arbeitet so stark, dass für das Denken zu wenig Raum bleibt. Darum darf ich die Schriftleistung nicht vorschnell als Denkgrenze lesen. Ich muss unterscheiden: Was ist kognitives Problem, und was ist ein Zugangsproblem?</w:t>
      </w:r>
    </w:p>
    <w:p w14:paraId="4B99C52E"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Der zweite Faktor ist die </w:t>
      </w:r>
      <w:r w:rsidRPr="00AD5234">
        <w:rPr>
          <w:rFonts w:eastAsia="Times New Roman" w:cs="Times New Roman"/>
          <w:b/>
          <w:bCs/>
          <w:kern w:val="0"/>
          <w:lang w:eastAsia="de-DE"/>
          <w14:ligatures w14:val="none"/>
        </w:rPr>
        <w:t>Leseflüssigkeit</w:t>
      </w:r>
      <w:r w:rsidRPr="00AD5234">
        <w:rPr>
          <w:rFonts w:eastAsia="Times New Roman" w:cs="Times New Roman"/>
          <w:kern w:val="0"/>
          <w:lang w:eastAsia="de-DE"/>
          <w14:ligatures w14:val="none"/>
        </w:rPr>
        <w:t>. S. liest mit 17 Wörtern pro Minute. Nach Gold liegt unter 40 Wörtern pro Minute ein Frustrationsniveau vor; flüssiges Lesen braucht deutlich mehr Geschwindigkeit, Genauigkeit und Prosodie. Leseflüssigkeit ist die Brücke zwischen Dekodieren und Verstehen. Wenn S. fast alle Ressourcen für Worterkennung braucht, kann er kaum gleichzeitig Sinn entnehmen, schlussfolgern oder mathematisch-sprachliche Aufgaben verstehen. Auch hier gilt: Das Problem ist nicht fehlendes Verständnis, sondern ein blockierter Zugang zum Verständnis.</w:t>
      </w:r>
    </w:p>
    <w:p w14:paraId="652E54CB"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Der dritte Faktor ist die </w:t>
      </w:r>
      <w:r w:rsidRPr="00AD5234">
        <w:rPr>
          <w:rFonts w:eastAsia="Times New Roman" w:cs="Times New Roman"/>
          <w:b/>
          <w:bCs/>
          <w:kern w:val="0"/>
          <w:lang w:eastAsia="de-DE"/>
          <w14:ligatures w14:val="none"/>
        </w:rPr>
        <w:t>affektiv-motivationale Dynamik</w:t>
      </w:r>
      <w:r w:rsidRPr="00AD5234">
        <w:rPr>
          <w:rFonts w:eastAsia="Times New Roman" w:cs="Times New Roman"/>
          <w:kern w:val="0"/>
          <w:lang w:eastAsia="de-DE"/>
          <w14:ligatures w14:val="none"/>
        </w:rPr>
        <w:t xml:space="preserve">. Greiten beschreibt Underachievement als Diskrepanz zwischen Potenzial und gezeigter Leistung, nicht als Persönlichkeitsmerkmal. Lehwald zeigt mit der Underachievement-Spirale, wie fehlende Passung zu Anstrengungsvermeidung, verändertem Selbstbild und </w:t>
      </w:r>
      <w:r w:rsidRPr="00AD5234">
        <w:rPr>
          <w:rFonts w:eastAsia="Times New Roman" w:cs="Times New Roman"/>
          <w:kern w:val="0"/>
          <w:lang w:eastAsia="de-DE"/>
          <w14:ligatures w14:val="none"/>
        </w:rPr>
        <w:lastRenderedPageBreak/>
        <w:t xml:space="preserve">lernbezogener Angst führen kann. Bei S. sind Schreib- und Leseblockaden deshalb nicht nur technische Probleme. Sie können sich emotional verfestigen. Darum lautet die Förderregel: </w:t>
      </w:r>
      <w:r w:rsidRPr="00AD5234">
        <w:rPr>
          <w:rFonts w:eastAsia="Times New Roman" w:cs="Times New Roman"/>
          <w:b/>
          <w:bCs/>
          <w:kern w:val="0"/>
          <w:lang w:eastAsia="de-DE"/>
          <w14:ligatures w14:val="none"/>
        </w:rPr>
        <w:t>Sicherheit vor Anforderung — aber nicht statt Anforderung.</w:t>
      </w:r>
    </w:p>
    <w:p w14:paraId="3D77DCD8"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 xml:space="preserve">Wenn ich nun den Deckel öffne, erscheint die fachliche Antwort: die </w:t>
      </w:r>
      <w:r w:rsidRPr="00AD5234">
        <w:rPr>
          <w:rFonts w:eastAsia="Times New Roman" w:cs="Times New Roman"/>
          <w:b/>
          <w:bCs/>
          <w:kern w:val="0"/>
          <w:lang w:eastAsia="de-DE"/>
          <w14:ligatures w14:val="none"/>
        </w:rPr>
        <w:t>Schrift-Schach-Brücke</w:t>
      </w:r>
      <w:r w:rsidRPr="00AD5234">
        <w:rPr>
          <w:rFonts w:eastAsia="Times New Roman" w:cs="Times New Roman"/>
          <w:kern w:val="0"/>
          <w:lang w:eastAsia="de-DE"/>
          <w14:ligatures w14:val="none"/>
        </w:rPr>
        <w:t>. Diese Brücke hat drei Pfeiler.</w:t>
      </w:r>
    </w:p>
    <w:p w14:paraId="3A600FEE"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Der erste Pfeiler ist graphomotorisch: Ich nutze kurze, bedeutungsvolle Schachnotationen wie e2–e4 oder Sg1–f3. Damit übt S. Buchstaben, Zahlen, Raumorientierung und Zeichen in reduzierter Form — aber nicht als isolierte Schreibübung, sondern mit persönlicher Bedeutung.</w:t>
      </w:r>
    </w:p>
    <w:p w14:paraId="124FDF8D"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Der zweite Pfeiler ist schriftsprachlich: Ich arbeite mit wiederholtem Lautlesen von Schachwörtern wie König, Dame, Turm, Springer, Läufer und Bauer. Gold begründet solche Lautleseverfahren als wirksam für Leseflüssigkeit. Die Wiederholung wird hier nicht langweilig, weil sie an S.s Interesse gekoppelt ist.</w:t>
      </w:r>
    </w:p>
    <w:p w14:paraId="1D3FDFA5"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Der dritte Pfeiler ist heilpädagogisch: Das GRAFINK-Rahmenmodell legitimiert Graphomotorik als inklusiven Förderbereich, verbunden mit ICF-CY, Psychomotorik, Fachdidaktik und multiprofessioneller Zusammenarbeit. Ich arbeite also nicht gegen die PMT, sondern parallel und anschlussfähig: im Unterricht, an einer bedeutsamen Aufgabe, mit Blick auf Aktivität und Partizipation.</w:t>
      </w:r>
    </w:p>
    <w:p w14:paraId="367371FE"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kern w:val="0"/>
          <w:lang w:eastAsia="de-DE"/>
          <w14:ligatures w14:val="none"/>
        </w:rPr>
        <w:t>Meine heilpädagogische Konsequenz lautet: Ich senke nicht den kognitiven Anspruch. Ich reduziere die Barriere, die verhindert, dass S. diesen Anspruch zeigen kann. Die Schrift-Schach-Brücke macht sichtbar: S.s Denken ist stark, seine Schrift ist entwickelbar, und Anstrengung kann wieder Wirkung haben.</w:t>
      </w:r>
    </w:p>
    <w:p w14:paraId="05E8E7D5" w14:textId="77777777" w:rsidR="00AD5234" w:rsidRPr="00AD5234" w:rsidRDefault="00AD5234" w:rsidP="00AD5234">
      <w:pPr>
        <w:spacing w:before="100" w:beforeAutospacing="1" w:after="100" w:afterAutospacing="1" w:line="240" w:lineRule="auto"/>
        <w:rPr>
          <w:rFonts w:eastAsia="Times New Roman" w:cs="Times New Roman"/>
          <w:kern w:val="0"/>
          <w:lang w:eastAsia="de-DE"/>
          <w14:ligatures w14:val="none"/>
        </w:rPr>
      </w:pPr>
      <w:r w:rsidRPr="00AD5234">
        <w:rPr>
          <w:rFonts w:eastAsia="Times New Roman" w:cs="Times New Roman"/>
          <w:b/>
          <w:bCs/>
          <w:kern w:val="0"/>
          <w:lang w:eastAsia="de-DE"/>
          <w14:ligatures w14:val="none"/>
        </w:rPr>
        <w:t>Schlusssatz:</w:t>
      </w:r>
      <w:r w:rsidRPr="00AD5234">
        <w:rPr>
          <w:rFonts w:eastAsia="Times New Roman" w:cs="Times New Roman"/>
          <w:kern w:val="0"/>
          <w:lang w:eastAsia="de-DE"/>
          <w14:ligatures w14:val="none"/>
        </w:rPr>
        <w:br/>
      </w:r>
      <w:r w:rsidRPr="00AD5234">
        <w:rPr>
          <w:rFonts w:eastAsia="Times New Roman" w:cs="Times New Roman"/>
          <w:b/>
          <w:bCs/>
          <w:kern w:val="0"/>
          <w:lang w:eastAsia="de-DE"/>
          <w14:ligatures w14:val="none"/>
        </w:rPr>
        <w:t>„Frage 2 fragt nicht, ob S. genug übt. Sie fragt, welche sensomotorischen und schriftsprachlichen Barrieren sein Denken verdecken. Darum zeigt der Südosten zuerst die blockierten Basisprozesse — und darunter die Brücke: Graphomotorik, Leseflüssigkeit und Sicherheit. Entlasten heisst hier: Zugang bauen, nicht Anspruch senken.“</w:t>
      </w:r>
    </w:p>
    <w:p w14:paraId="754D0867" w14:textId="77777777" w:rsidR="006A29F0" w:rsidRPr="00AD5234" w:rsidRDefault="006A29F0"/>
    <w:sectPr w:rsidR="006A29F0" w:rsidRPr="00AD523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234"/>
    <w:rsid w:val="0023764C"/>
    <w:rsid w:val="006A29F0"/>
    <w:rsid w:val="00AD5234"/>
    <w:rsid w:val="00DD4576"/>
    <w:rsid w:val="00FA5CDB"/>
    <w:rsid w:val="00FE35E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25977"/>
  <w15:chartTrackingRefBased/>
  <w15:docId w15:val="{9658F0CE-3985-2243-832E-69284EBF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D5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D5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D523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D523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D523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D523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D523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D523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D523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D523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D523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D523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D523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D523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D523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D523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D523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D5234"/>
    <w:rPr>
      <w:rFonts w:eastAsiaTheme="majorEastAsia" w:cstheme="majorBidi"/>
      <w:color w:val="272727" w:themeColor="text1" w:themeTint="D8"/>
    </w:rPr>
  </w:style>
  <w:style w:type="paragraph" w:styleId="Titel">
    <w:name w:val="Title"/>
    <w:basedOn w:val="Standard"/>
    <w:next w:val="Standard"/>
    <w:link w:val="TitelZchn"/>
    <w:uiPriority w:val="10"/>
    <w:qFormat/>
    <w:rsid w:val="00AD5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D523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D523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D523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D523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D5234"/>
    <w:rPr>
      <w:i/>
      <w:iCs/>
      <w:color w:val="404040" w:themeColor="text1" w:themeTint="BF"/>
    </w:rPr>
  </w:style>
  <w:style w:type="paragraph" w:styleId="Listenabsatz">
    <w:name w:val="List Paragraph"/>
    <w:basedOn w:val="Standard"/>
    <w:uiPriority w:val="34"/>
    <w:qFormat/>
    <w:rsid w:val="00AD5234"/>
    <w:pPr>
      <w:ind w:left="720"/>
      <w:contextualSpacing/>
    </w:pPr>
  </w:style>
  <w:style w:type="character" w:styleId="IntensiveHervorhebung">
    <w:name w:val="Intense Emphasis"/>
    <w:basedOn w:val="Absatz-Standardschriftart"/>
    <w:uiPriority w:val="21"/>
    <w:qFormat/>
    <w:rsid w:val="00AD5234"/>
    <w:rPr>
      <w:i/>
      <w:iCs/>
      <w:color w:val="0F4761" w:themeColor="accent1" w:themeShade="BF"/>
    </w:rPr>
  </w:style>
  <w:style w:type="paragraph" w:styleId="IntensivesZitat">
    <w:name w:val="Intense Quote"/>
    <w:basedOn w:val="Standard"/>
    <w:next w:val="Standard"/>
    <w:link w:val="IntensivesZitatZchn"/>
    <w:uiPriority w:val="30"/>
    <w:qFormat/>
    <w:rsid w:val="00AD5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D5234"/>
    <w:rPr>
      <w:i/>
      <w:iCs/>
      <w:color w:val="0F4761" w:themeColor="accent1" w:themeShade="BF"/>
    </w:rPr>
  </w:style>
  <w:style w:type="character" w:styleId="IntensiverVerweis">
    <w:name w:val="Intense Reference"/>
    <w:basedOn w:val="Absatz-Standardschriftart"/>
    <w:uiPriority w:val="32"/>
    <w:qFormat/>
    <w:rsid w:val="00AD5234"/>
    <w:rPr>
      <w:b/>
      <w:bCs/>
      <w:smallCaps/>
      <w:color w:val="0F4761" w:themeColor="accent1" w:themeShade="BF"/>
      <w:spacing w:val="5"/>
    </w:rPr>
  </w:style>
  <w:style w:type="character" w:styleId="Fett">
    <w:name w:val="Strong"/>
    <w:basedOn w:val="Absatz-Standardschriftart"/>
    <w:uiPriority w:val="22"/>
    <w:qFormat/>
    <w:rsid w:val="00AD5234"/>
    <w:rPr>
      <w:b/>
      <w:bCs/>
    </w:rPr>
  </w:style>
  <w:style w:type="paragraph" w:styleId="StandardWeb">
    <w:name w:val="Normal (Web)"/>
    <w:basedOn w:val="Standard"/>
    <w:uiPriority w:val="99"/>
    <w:semiHidden/>
    <w:unhideWhenUsed/>
    <w:rsid w:val="00AD5234"/>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667</Words>
  <Characters>4209</Characters>
  <Application>Microsoft Office Word</Application>
  <DocSecurity>0</DocSecurity>
  <Lines>35</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Pascal Schmid</dc:creator>
  <cp:keywords/>
  <dc:description/>
  <cp:lastModifiedBy>Pascal Schmid</cp:lastModifiedBy>
  <cp:revision>1</cp:revision>
  <dcterms:created xsi:type="dcterms:W3CDTF">2026-05-23T15:51:00Z</dcterms:created>
  <dcterms:modified xsi:type="dcterms:W3CDTF">2026-05-23T15:51:00Z</dcterms:modified>
</cp:coreProperties>
</file>